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420" w:leftChars="1100"/>
        <w:rPr>
          <w:rFonts w:ascii="Times New Roman Regular" w:hAnsi="Times New Roman Regular" w:eastAsia="宋体" w:cs="Times New Roman Regular"/>
          <w:sz w:val="20"/>
          <w:szCs w:val="21"/>
        </w:rPr>
      </w:pPr>
      <w:r>
        <w:rPr>
          <w:rFonts w:ascii="Times New Roman Regular" w:hAnsi="Times New Roman Regular" w:eastAsia="宋体" w:cs="Times New Roman Regular"/>
        </w:rPr>
        <w:drawing>
          <wp:inline distT="0" distB="0" distL="0" distR="0">
            <wp:extent cx="3676650" cy="10807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06936" cy="109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 Regular" w:hAnsi="Times New Roman Regular" w:eastAsia="宋体" w:cs="Times New Roman Regular"/>
          <w:sz w:val="20"/>
          <w:szCs w:val="20"/>
        </w:rPr>
        <w:t xml:space="preserve">                              </w:t>
      </w:r>
    </w:p>
    <w:tbl>
      <w:tblPr>
        <w:tblStyle w:val="9"/>
        <w:tblW w:w="10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780"/>
        <w:gridCol w:w="1365"/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5" w:type="dxa"/>
            <w:gridSpan w:val="4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EBP问题</w:t>
            </w: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  <w:jc w:val="center"/>
        </w:trPr>
        <w:tc>
          <w:tcPr>
            <w:tcW w:w="410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证据强度</w:t>
            </w:r>
          </w:p>
        </w:tc>
        <w:tc>
          <w:tcPr>
            <w:tcW w:w="1365" w:type="dxa"/>
            <w:vMerge w:val="restart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来源数量（数量）</w:t>
            </w:r>
          </w:p>
        </w:tc>
        <w:tc>
          <w:tcPr>
            <w:tcW w:w="5503" w:type="dxa"/>
            <w:vMerge w:val="restart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val="en-US" w:eastAsia="zh-CN"/>
              </w:rPr>
              <w:t>综合文章研究结果及相应文章编号</w:t>
            </w:r>
          </w:p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0"/>
                <w:lang w:eastAsia="zh-CN"/>
              </w:rPr>
              <w:t>（不是对每个证据摘要中信息的简单重述，请参阅说明）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7" w:type="dxa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强度级别 </w:t>
            </w:r>
          </w:p>
        </w:tc>
        <w:tc>
          <w:tcPr>
            <w:tcW w:w="1780" w:type="dxa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  <w:t xml:space="preserve">总体质量等级 </w:t>
            </w:r>
          </w:p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18"/>
                <w:lang w:eastAsia="zh-CN"/>
              </w:rPr>
              <w:t>（高、良</w:t>
            </w:r>
            <w:r>
              <w:rPr>
                <w:rFonts w:hint="eastAsia" w:ascii="Times New Roman Regular" w:hAnsi="Times New Roman Regular" w:eastAsia="宋体" w:cs="Times New Roman Regular"/>
                <w:sz w:val="18"/>
                <w:lang w:eastAsia="zh-CN"/>
              </w:rPr>
              <w:t>好</w:t>
            </w:r>
            <w:r>
              <w:rPr>
                <w:rFonts w:ascii="Times New Roman Regular" w:hAnsi="Times New Roman Regular" w:eastAsia="宋体" w:cs="Times New Roman Regular"/>
                <w:sz w:val="18"/>
                <w:lang w:eastAsia="zh-CN"/>
              </w:rPr>
              <w:t>或</w:t>
            </w:r>
            <w:r>
              <w:rPr>
                <w:rFonts w:hint="eastAsia" w:ascii="Times New Roman Regular" w:hAnsi="Times New Roman Regular" w:eastAsia="宋体" w:cs="Times New Roman Regular"/>
                <w:sz w:val="18"/>
                <w:lang w:eastAsia="zh-Hans"/>
              </w:rPr>
              <w:t>低</w:t>
            </w:r>
            <w:r>
              <w:rPr>
                <w:rFonts w:ascii="Times New Roman Regular" w:hAnsi="Times New Roman Regular" w:eastAsia="宋体" w:cs="Times New Roman Regular"/>
                <w:sz w:val="18"/>
                <w:lang w:eastAsia="zh-CN"/>
              </w:rPr>
              <w:t>）</w:t>
            </w:r>
          </w:p>
        </w:tc>
        <w:tc>
          <w:tcPr>
            <w:tcW w:w="1365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</w:pPr>
          </w:p>
        </w:tc>
        <w:tc>
          <w:tcPr>
            <w:tcW w:w="5503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2327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</w:rPr>
            </w:pPr>
            <w:r>
              <w:rPr>
                <w:rFonts w:ascii="Times New Roman Regular" w:hAnsi="Times New Roman Regular" w:eastAsia="宋体" w:cs="Times New Roman Regular"/>
                <w:b/>
              </w:rPr>
              <w:t>一级</w:t>
            </w:r>
          </w:p>
          <w:p>
            <w:pPr>
              <w:pStyle w:val="12"/>
              <w:numPr>
                <w:ilvl w:val="0"/>
                <w:numId w:val="1"/>
              </w:num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实验研究</w:t>
            </w:r>
          </w:p>
        </w:tc>
        <w:tc>
          <w:tcPr>
            <w:tcW w:w="178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1365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5503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0" w:hRule="atLeast"/>
          <w:jc w:val="center"/>
        </w:trPr>
        <w:tc>
          <w:tcPr>
            <w:tcW w:w="2327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</w:rPr>
            </w:pPr>
            <w:r>
              <w:rPr>
                <w:rFonts w:ascii="Times New Roman Regular" w:hAnsi="Times New Roman Regular" w:eastAsia="宋体" w:cs="Times New Roman Regular"/>
                <w:b/>
              </w:rPr>
              <w:t>二级</w:t>
            </w:r>
          </w:p>
          <w:p>
            <w:pPr>
              <w:pStyle w:val="12"/>
              <w:numPr>
                <w:ilvl w:val="0"/>
                <w:numId w:val="1"/>
              </w:num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准实验研究</w:t>
            </w: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178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1365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5503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2327" w:type="dxa"/>
          </w:tcPr>
          <w:p>
            <w:pPr>
              <w:pStyle w:val="12"/>
              <w:spacing w:after="0" w:line="240" w:lineRule="auto"/>
              <w:ind w:left="0"/>
              <w:rPr>
                <w:rFonts w:ascii="Times New Roman Regular" w:hAnsi="Times New Roman Regular" w:eastAsia="宋体" w:cs="Times New Roman Regular"/>
                <w:b/>
              </w:rPr>
            </w:pPr>
            <w:r>
              <w:rPr>
                <w:rFonts w:ascii="Times New Roman Regular" w:hAnsi="Times New Roman Regular" w:eastAsia="宋体" w:cs="Times New Roman Regular"/>
                <w:b/>
              </w:rPr>
              <w:t>三级</w:t>
            </w:r>
          </w:p>
          <w:p>
            <w:pPr>
              <w:pStyle w:val="12"/>
              <w:numPr>
                <w:ilvl w:val="0"/>
                <w:numId w:val="1"/>
              </w:num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>非实验性，包括定性研究</w:t>
            </w: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pStyle w:val="12"/>
              <w:spacing w:after="0" w:line="240" w:lineRule="auto"/>
              <w:ind w:left="0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78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365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5503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2327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</w:rPr>
            </w:pPr>
            <w:r>
              <w:rPr>
                <w:rFonts w:ascii="Times New Roman Regular" w:hAnsi="Times New Roman Regular" w:eastAsia="宋体" w:cs="Times New Roman Regular"/>
                <w:b/>
              </w:rPr>
              <w:t>四级</w:t>
            </w:r>
          </w:p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临床实践指南或共识小组 </w:t>
            </w:r>
          </w:p>
        </w:tc>
        <w:tc>
          <w:tcPr>
            <w:tcW w:w="178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365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5503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2327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</w:rPr>
            </w:pPr>
            <w:r>
              <w:rPr>
                <w:rFonts w:ascii="Times New Roman Regular" w:hAnsi="Times New Roman Regular" w:eastAsia="宋体" w:cs="Times New Roman Regular"/>
                <w:b/>
              </w:rPr>
              <w:t>第五级</w:t>
            </w:r>
          </w:p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文献综述、质量改进、病例报告、专家意见 </w:t>
            </w: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78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365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5503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</w:tbl>
    <w:p>
      <w:pPr>
        <w:rPr>
          <w:rFonts w:ascii="Times New Roman Regular" w:hAnsi="Times New Roman Regular" w:eastAsia="宋体" w:cs="Times New Roman Regular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lang w:eastAsia="zh-CN"/>
        </w:rPr>
      </w:pPr>
    </w:p>
    <w:p>
      <w:pPr>
        <w:tabs>
          <w:tab w:val="left" w:pos="8413"/>
        </w:tabs>
        <w:rPr>
          <w:rFonts w:ascii="Times New Roman Regular" w:hAnsi="Times New Roman Regular" w:eastAsia="宋体" w:cs="Times New Roman Regular"/>
          <w:lang w:eastAsia="zh-CN"/>
        </w:rPr>
      </w:pPr>
      <w:r>
        <w:rPr>
          <w:rFonts w:ascii="Times New Roman Regular" w:hAnsi="Times New Roman Regular" w:eastAsia="宋体" w:cs="Times New Roman Regular"/>
          <w:lang w:eastAsia="zh-CN"/>
        </w:rPr>
        <w:tab/>
      </w:r>
    </w:p>
    <w:p>
      <w:pPr>
        <w:rPr>
          <w:rFonts w:ascii="Times New Roman Regular" w:hAnsi="Times New Roman Regular" w:eastAsia="宋体" w:cs="Times New Roman Regular"/>
          <w:lang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5" w:type="dxa"/>
            <w:shd w:val="clear" w:color="auto" w:fill="F1F1F1" w:themeFill="background1" w:themeFillShade="F2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 xml:space="preserve">哪里体现了证据一致性？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070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5" w:type="dxa"/>
            <w:shd w:val="clear" w:color="auto" w:fill="F1F1F1" w:themeFill="background1" w:themeFillShade="F2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 xml:space="preserve">哪里体现了证据的不一致？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70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0705" w:type="dxa"/>
            <w:shd w:val="clear" w:color="auto" w:fill="E7E6E6" w:themeFill="background2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>最佳证据建议（综合考虑证据的数量、一致性和可信度）：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8" w:hRule="atLeast"/>
        </w:trPr>
        <w:tc>
          <w:tcPr>
            <w:tcW w:w="1070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5" w:type="dxa"/>
            <w:shd w:val="clear" w:color="auto" w:fill="F1F1F1" w:themeFill="background1" w:themeFillShade="F2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b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>根据你的综合分析，选择最能说明该证据总体特征的陈述。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5" w:type="dxa"/>
          </w:tcPr>
          <w:p>
            <w:pPr>
              <w:spacing w:before="120" w:after="0" w:line="36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b/>
                  <w:lang w:eastAsia="zh-CN"/>
                </w:rPr>
                <w:id w:val="-6884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b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b/>
                    <w:shd w:val="clear" w:color="auto" w:fill="FFFF00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 xml:space="preserve">  有力和令人信服的证据，一致的结果</w:t>
            </w:r>
            <w:r>
              <w:rPr>
                <w:rFonts w:ascii="Wingdings" w:hAnsi="Wingdings" w:eastAsia="Wingdings" w:cs="Wingdings"/>
                <w:b/>
              </w:rPr>
              <w:t></w:t>
            </w:r>
            <w:r>
              <w:rPr>
                <w:rFonts w:ascii="Times New Roman Regular" w:hAnsi="Times New Roman Regular" w:eastAsia="宋体" w:cs="Times New Roman Regular"/>
                <w:b w:val="0"/>
                <w:bCs/>
                <w:lang w:eastAsia="zh-CN"/>
              </w:rPr>
              <w:t>建议可靠；评估结构转化。</w:t>
            </w:r>
          </w:p>
          <w:p>
            <w:pPr>
              <w:spacing w:before="120" w:after="0" w:line="360" w:lineRule="auto"/>
              <w:rPr>
                <w:rFonts w:ascii="Times New Roman Regular" w:hAnsi="Times New Roman Regular" w:eastAsia="宋体" w:cs="Times New Roman Regular"/>
                <w:b/>
                <w:bCs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b/>
                  <w:bCs/>
                  <w:lang w:eastAsia="zh-CN"/>
                </w:rPr>
                <w:id w:val="69936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b/>
                  <w:bCs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b/>
                    <w:bCs/>
                    <w:shd w:val="clear" w:color="auto" w:fill="FFFF00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b/>
                <w:bCs/>
                <w:lang w:eastAsia="zh-CN"/>
              </w:rPr>
              <w:t xml:space="preserve">  良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lang w:eastAsia="zh-Hans"/>
              </w:rPr>
              <w:t>好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lang w:eastAsia="zh-CN"/>
              </w:rPr>
              <w:t>的证据和一致的结果</w:t>
            </w:r>
            <w:r>
              <w:rPr>
                <w:rFonts w:ascii="Wingdings" w:hAnsi="Wingdings" w:eastAsia="Wingdings" w:cs="Wingdings"/>
                <w:b/>
              </w:rPr>
              <w:t></w:t>
            </w:r>
            <w:r>
              <w:rPr>
                <w:rFonts w:ascii="Times New Roman Regular" w:hAnsi="Times New Roman Regular" w:eastAsia="宋体" w:cs="Times New Roman Regular"/>
                <w:b w:val="0"/>
                <w:bCs/>
                <w:lang w:eastAsia="zh-CN"/>
              </w:rPr>
              <w:t>建议可能可靠；</w:t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>评估风险和结构转化。</w:t>
            </w:r>
          </w:p>
          <w:p>
            <w:pPr>
              <w:spacing w:before="120" w:after="0" w:line="360" w:lineRule="auto"/>
              <w:rPr>
                <w:rFonts w:ascii="Times New Roman Regular" w:hAnsi="Times New Roman Regular" w:eastAsia="宋体" w:cs="Times New Roman Regular"/>
                <w:b w:val="0"/>
                <w:bCs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b/>
                  <w:bCs/>
                  <w:lang w:eastAsia="zh-CN"/>
                </w:rPr>
                <w:id w:val="153014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b/>
                  <w:bCs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b/>
                    <w:bCs/>
                    <w:shd w:val="clear" w:color="auto" w:fill="FFFF00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b/>
                <w:bCs/>
                <w:lang w:eastAsia="zh-CN"/>
              </w:rPr>
              <w:t xml:space="preserve">  证据充分，但结果相互矛盾</w:t>
            </w:r>
            <w:r>
              <w:rPr>
                <w:rFonts w:ascii="Wingdings" w:hAnsi="Wingdings" w:eastAsia="Wingdings" w:cs="Wingdings"/>
                <w:b/>
              </w:rPr>
              <w:t></w:t>
            </w:r>
            <w:r>
              <w:rPr>
                <w:rFonts w:ascii="Times New Roman Regular" w:hAnsi="Times New Roman Regular" w:eastAsia="宋体" w:cs="Times New Roman Regular"/>
                <w:b w:val="0"/>
                <w:bCs/>
                <w:lang w:eastAsia="zh-CN"/>
              </w:rPr>
              <w:t>无法根据当前证据确定最佳实践；评估风险，考虑进一步调查新证据，开展调研或终止项目。</w:t>
            </w:r>
          </w:p>
          <w:p>
            <w:pPr>
              <w:spacing w:before="120" w:after="0" w:line="36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b/>
                  <w:lang w:eastAsia="zh-CN"/>
                </w:rPr>
                <w:id w:val="-12832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b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b/>
                    <w:shd w:val="clear" w:color="auto" w:fill="FFFF00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b/>
                <w:lang w:eastAsia="zh-CN"/>
              </w:rPr>
              <w:t xml:space="preserve">  证据很少或没有证据</w:t>
            </w:r>
            <w:r>
              <w:rPr>
                <w:rFonts w:ascii="Wingdings" w:hAnsi="Wingdings" w:eastAsia="Wingdings" w:cs="Wingdings"/>
                <w:b/>
              </w:rPr>
              <w:t></w:t>
            </w:r>
            <w:r>
              <w:rPr>
                <w:rFonts w:ascii="Times New Roman Regular" w:hAnsi="Times New Roman Regular" w:eastAsia="宋体" w:cs="Times New Roman Regular"/>
                <w:b w:val="0"/>
                <w:bCs/>
                <w:lang w:eastAsia="zh-CN"/>
              </w:rPr>
              <w:t>无法根据现有证据确定最佳实践；考虑进一步调查新证据，开展调研或终止项目。</w:t>
            </w:r>
          </w:p>
        </w:tc>
      </w:tr>
    </w:tbl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4600575</wp:posOffset>
                </wp:positionH>
                <wp:positionV relativeFrom="paragraph">
                  <wp:posOffset>210185</wp:posOffset>
                </wp:positionV>
                <wp:extent cx="2178685" cy="749300"/>
                <wp:effectExtent l="6350" t="6350" r="24765" b="6350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749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 xml:space="preserve">请参阅第11章《实践经验》以获取已完成工具的示例。 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sz w:val="32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62.25pt;margin-top:16.55pt;height:59pt;width:171.55pt;mso-position-horizontal-relative:margin;mso-wrap-distance-bottom:3.6pt;mso-wrap-distance-left:9pt;mso-wrap-distance-right:9pt;mso-wrap-distance-top:3.6pt;z-index:251659264;mso-width-relative:page;mso-height-relative:page;" fillcolor="#D9D9D9 [2732]" filled="t" stroked="t" coordsize="21600,21600" o:gfxdata="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1YXRPXAAAACwEAAA8AAAAAAAAAAQAgAAAAIgAAAGRycy9kb3ducmV2LnhtbFBL&#10;AQIUABQAAAAIAIdO4kBTRQW7MAIAAIQEAAAOAAAAAAAAAAEAIAAAACY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sz w:val="24"/>
                          <w:szCs w:val="24"/>
                          <w:lang w:eastAsia="zh-CN"/>
                        </w:rPr>
                        <w:t xml:space="preserve">请参阅第11章《实践经验》以获取已完成工具的示例。 </w:t>
                      </w:r>
                      <w:r>
                        <w:rPr>
                          <w:rFonts w:ascii="宋体" w:hAnsi="宋体" w:eastAsia="宋体" w:cs="宋体"/>
                          <w:b/>
                          <w:sz w:val="32"/>
                          <w:szCs w:val="24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综合与建议工具表的使用说明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目的：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 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该工具表指导EBP团队综合各级证据（附录G）的相关研究结果，并按证据级别分类，以呈现与PICO问题相关的证据的整体情况。综合过程使用数量、强度（水平和质量）和一致性，以产生最佳证据建议，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推动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潜在的转化。 </w:t>
      </w: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 xml:space="preserve">                          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 xml:space="preserve">总体质量级别和证据来源总数： 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记录总体质量评级和每个级别（高、良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好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或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低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）的来源数量，确保团队成员之间达成一致。 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结果综合：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这部分记录回答EBP问题的关键发现。使用以下问题，将不同的证据以简洁的陈述形式结合起来，进而产出一个综合的结果，以增强团队的知识并对更大的整体有新的洞察、观点和理解。</w:t>
      </w:r>
      <w:r>
        <w:rPr>
          <w:rFonts w:ascii="Times New Roman Regular" w:hAnsi="Times New Roman Regular" w:eastAsia="宋体" w:cs="Times New Roman Regular"/>
          <w:sz w:val="24"/>
          <w:szCs w:val="24"/>
        </w:rPr>
        <w:t>以下问题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能为</w:t>
      </w:r>
      <w:r>
        <w:rPr>
          <w:rFonts w:ascii="Times New Roman Regular" w:hAnsi="Times New Roman Regular" w:eastAsia="宋体" w:cs="Times New Roman Regular"/>
          <w:sz w:val="24"/>
          <w:szCs w:val="24"/>
        </w:rPr>
        <w:t>团队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在</w:t>
      </w:r>
      <w:r>
        <w:rPr>
          <w:rFonts w:ascii="Times New Roman Regular" w:hAnsi="Times New Roman Regular" w:eastAsia="宋体" w:cs="Times New Roman Regular"/>
          <w:sz w:val="24"/>
          <w:szCs w:val="24"/>
        </w:rPr>
        <w:t>讨论证据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时提供指导</w:t>
      </w:r>
      <w:r>
        <w:rPr>
          <w:rFonts w:ascii="Times New Roman Regular" w:hAnsi="Times New Roman Regular" w:eastAsia="宋体" w:cs="Times New Roman Regular"/>
          <w:sz w:val="24"/>
          <w:szCs w:val="24"/>
        </w:rPr>
        <w:t>：</w:t>
      </w:r>
    </w:p>
    <w:p>
      <w:pPr>
        <w:pStyle w:val="12"/>
        <w:numPr>
          <w:ilvl w:val="0"/>
          <w:numId w:val="3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如何组织每个级别的证据以更全面地了解大局？ </w:t>
      </w:r>
    </w:p>
    <w:p>
      <w:pPr>
        <w:pStyle w:val="12"/>
        <w:numPr>
          <w:ilvl w:val="0"/>
          <w:numId w:val="3"/>
        </w:numPr>
        <w:rPr>
          <w:rFonts w:ascii="Times New Roman Regular" w:hAnsi="Times New Roman Regular" w:eastAsia="宋体" w:cs="Times New Roman Regular"/>
          <w:sz w:val="24"/>
          <w:szCs w:val="24"/>
        </w:rPr>
      </w:pPr>
      <w:r>
        <w:rPr>
          <w:rFonts w:ascii="Times New Roman Regular" w:hAnsi="Times New Roman Regular" w:eastAsia="宋体" w:cs="Times New Roman Regular"/>
          <w:sz w:val="24"/>
          <w:szCs w:val="24"/>
        </w:rPr>
        <w:t xml:space="preserve">你注意到什么主题？ </w:t>
      </w:r>
    </w:p>
    <w:p>
      <w:pPr>
        <w:pStyle w:val="12"/>
        <w:numPr>
          <w:ilvl w:val="0"/>
          <w:numId w:val="3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干预/背景/样本的哪些因素可能会影响结果？ </w:t>
      </w:r>
    </w:p>
    <w:p>
      <w:pPr>
        <w:pStyle w:val="12"/>
        <w:numPr>
          <w:ilvl w:val="0"/>
          <w:numId w:val="3"/>
        </w:numPr>
        <w:rPr>
          <w:rFonts w:ascii="Times New Roman Regular" w:hAnsi="Times New Roman Regular" w:eastAsia="宋体" w:cs="Times New Roman Regular"/>
          <w:sz w:val="24"/>
          <w:szCs w:val="24"/>
        </w:rPr>
      </w:pPr>
      <w:r>
        <w:rPr>
          <w:rFonts w:ascii="Times New Roman Regular" w:hAnsi="Times New Roman Regular" w:eastAsia="宋体" w:cs="Times New Roman Regular"/>
          <w:sz w:val="24"/>
          <w:szCs w:val="24"/>
        </w:rPr>
        <w:t xml:space="preserve">有哪些重要收获？ 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避免重复内容和/或直接从单个证据总结工具表复制和粘贴。记录用于生成每个证据综合的文章编号，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以便证据来源后续追踪识别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。 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使用这种综合工具表不仅需要整个团队的批判性思维，还需要小组讨论和建立共识。该团队审查高质量文章中的个人证据总结工具表，使用主观和客观推理来寻找突出的主题，并评估信息以产生更高层次的见解。在评估中，需要考虑调查结果的可信度和一致性。 </w:t>
      </w:r>
    </w:p>
    <w:p>
      <w:pPr>
        <w:rPr>
          <w:rFonts w:ascii="Times New Roman Regular" w:hAnsi="Times New Roman Regular" w:eastAsia="宋体" w:cs="Times New Roman Regular"/>
          <w:b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sz w:val="24"/>
          <w:szCs w:val="24"/>
          <w:lang w:eastAsia="zh-CN"/>
        </w:rPr>
        <w:t xml:space="preserve">证据在哪里显示一致性/不一致性？   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EBP团队必须考虑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不同研究之间研究结果的一致性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。这些研究是否倾向于显示相同的结论，或者是否存在差异？当大多数研究具有相同的一般结果或指向相同的大方向时，整合证据更具说服力。如果各部分研究结果的指向性不同，则整体证据说服力不足。团队应确定证据之间的一致性，同时也要确定其中明显不一致之处。在提供各类建议或确定后续步骤时，这两个因素都很重要。 </w:t>
      </w:r>
    </w:p>
    <w:p>
      <w:pPr>
        <w:rPr>
          <w:rFonts w:ascii="Times New Roman Regular" w:hAnsi="Times New Roman Regular" w:eastAsia="宋体" w:cs="Times New Roman Regular"/>
          <w:b/>
          <w:sz w:val="24"/>
          <w:szCs w:val="24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sz w:val="24"/>
          <w:szCs w:val="24"/>
          <w:lang w:eastAsia="zh-CN"/>
        </w:rPr>
        <w:t>最佳证据建议：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在这个部分，EBP团队要考虑与各个级别综合发现的强度，数量和一致性相关的所有信息，以从证据中提炼最佳的实践建议。应</w:t>
      </w:r>
      <w:r>
        <w:rPr>
          <w:rFonts w:ascii="Times New Roman Regular" w:hAnsi="Times New Roman Regular" w:eastAsia="宋体" w:cs="Times New Roman Regular"/>
          <w:sz w:val="24"/>
          <w:szCs w:val="24"/>
        </w:rPr>
        <w:t>考虑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以下问题</w:t>
      </w:r>
      <w:r>
        <w:rPr>
          <w:rFonts w:ascii="Times New Roman Regular" w:hAnsi="Times New Roman Regular" w:eastAsia="宋体" w:cs="Times New Roman Regular"/>
          <w:sz w:val="24"/>
          <w:szCs w:val="24"/>
        </w:rPr>
        <w:t>：</w:t>
      </w:r>
    </w:p>
    <w:p>
      <w:pPr>
        <w:pStyle w:val="12"/>
        <w:numPr>
          <w:ilvl w:val="0"/>
          <w:numId w:val="4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与特定证据推荐相关的研究的强度和数量是多少？</w:t>
      </w:r>
    </w:p>
    <w:p>
      <w:pPr>
        <w:pStyle w:val="12"/>
        <w:numPr>
          <w:ilvl w:val="0"/>
          <w:numId w:val="4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是否有足够的高强度研究来支持该建议？</w:t>
      </w:r>
    </w:p>
    <w:p>
      <w:pPr>
        <w:pStyle w:val="12"/>
        <w:numPr>
          <w:ilvl w:val="0"/>
          <w:numId w:val="4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根据证据的说服力和数量，是否能够排除一些建议？</w:t>
      </w:r>
    </w:p>
    <w:p>
      <w:pPr>
        <w:pStyle w:val="12"/>
        <w:numPr>
          <w:ilvl w:val="0"/>
          <w:numId w:val="4"/>
        </w:num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团队是否认为证据具有足够的说服力和数量，可以被视为最佳证据建议？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建议应该用简洁的语言陈述，将整合证据提炼成回答EBP问题的答案。该团队根据证据提出这些建议，尚未考虑其特定的背景。下一步是将建议转化为团队组织内的行动步骤（转化和行动计划工具表，附录 I）。 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综合考虑，哪种陈述代表证据的总体特点？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选择最能反映调查结果的强度和一致性的陈述。这一决定将有助于团队在转化过程中确定后续步骤。</w:t>
      </w: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 xml:space="preserve">  </w:t>
      </w:r>
    </w:p>
    <w:p>
      <w:pPr>
        <w:widowControl w:val="0"/>
        <w:autoSpaceDE w:val="0"/>
        <w:autoSpaceDN w:val="0"/>
        <w:spacing w:before="120" w:after="120" w:line="28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当证据有力（包括多项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一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级和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二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级证据的高质量研究）、令人信服且一致时，EBP团队对最佳实践建议更有信心，并应开始组织转化。</w:t>
      </w:r>
    </w:p>
    <w:p>
      <w:pPr>
        <w:widowControl w:val="0"/>
        <w:autoSpaceDE w:val="0"/>
        <w:autoSpaceDN w:val="0"/>
        <w:spacing w:before="120" w:after="120" w:line="28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当大多数证据良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好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（高质量二级和三级）并且一致或良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好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但相互矛盾时，团队应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对实践层面采取谨慎态度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。在这种情况下，转化通常包括评估风险和仔细考虑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如何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组织转化。  </w:t>
      </w:r>
    </w:p>
    <w:p>
      <w:pPr>
        <w:widowControl w:val="0"/>
        <w:autoSpaceDE w:val="0"/>
        <w:autoSpaceDN w:val="0"/>
        <w:spacing w:before="120" w:after="0" w:line="288" w:lineRule="auto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该团队主要在有足够充分的证据支撑的情况下，才进行实践的改变。切勿在几乎没有证据的情况下（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基于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任何级别的低质量证据或仅四级或五级证据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的情况下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）进行实践变革。尽管如此，团队有多种行动选择，包括但不限于开启宣传活动、进行信息和教育更新、监控新信息的证据来源以及设计研究。</w:t>
      </w:r>
    </w:p>
    <w:p>
      <w:pPr>
        <w:widowControl w:val="0"/>
        <w:autoSpaceDE w:val="0"/>
        <w:autoSpaceDN w:val="0"/>
        <w:spacing w:before="120" w:after="0" w:line="288" w:lineRule="auto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确定证据强度所需的确切来源数量具有主观性，它取决于许多因素，包括主题和可用文献的数量。EBP 团队应根据他们对问题、文献和背景的了解，针对他们认为充足的证据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展开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讨论。 </w:t>
      </w:r>
    </w:p>
    <w:p>
      <w:pPr>
        <w:rPr>
          <w:rFonts w:ascii="Times New Roman Regular" w:hAnsi="Times New Roman Regular" w:eastAsia="宋体" w:cs="Times New Roman Regular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lang w:eastAsia="zh-CN"/>
        </w:rPr>
      </w:pPr>
    </w:p>
    <w:p>
      <w:pPr>
        <w:tabs>
          <w:tab w:val="left" w:pos="2377"/>
        </w:tabs>
        <w:rPr>
          <w:rFonts w:ascii="Times New Roman Regular" w:hAnsi="Times New Roman Regular" w:eastAsia="宋体" w:cs="Times New Roman Regular"/>
          <w:lang w:eastAsia="zh-CN"/>
        </w:rPr>
      </w:pPr>
      <w:r>
        <w:rPr>
          <w:rFonts w:ascii="Times New Roman Regular" w:hAnsi="Times New Roman Regular" w:eastAsia="宋体" w:cs="Times New Roman Regular"/>
          <w:lang w:eastAsia="zh-CN"/>
        </w:rPr>
        <w:tab/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 Regular" w:hAnsi="Times New Roman Regular" w:eastAsia="宋体" w:cs="Times New Roman Regular"/>
        <w:sz w:val="20"/>
        <w:lang w:eastAsia="zh-CN"/>
      </w:rPr>
    </w:pPr>
    <w:r>
      <w:rPr>
        <w:rFonts w:ascii="宋体" w:hAnsi="宋体" w:eastAsia="宋体" w:cs="宋体"/>
        <w:sz w:val="20"/>
        <w:lang w:eastAsia="zh-CN"/>
      </w:rPr>
      <w:t xml:space="preserve">                                    </w:t>
    </w:r>
    <w:r>
      <w:rPr>
        <w:rFonts w:ascii="Times New Roman Regular" w:hAnsi="Times New Roman Regular" w:eastAsia="宋体" w:cs="Times New Roman Regular"/>
        <w:sz w:val="20"/>
        <w:lang w:eastAsia="zh-CN"/>
      </w:rPr>
      <w:t xml:space="preserve">           © 2022约翰·霍普金斯卫生系统/约翰·霍普金斯大学护理学院 </w:t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 xml:space="preserve">页码 | </w:t>
    </w:r>
    <w:r>
      <w:rPr>
        <w:rFonts w:ascii="Times New Roman Regular" w:hAnsi="Times New Roman Regular" w:eastAsia="宋体" w:cs="Times New Roman Regular"/>
        <w:sz w:val="20"/>
      </w:rPr>
      <w:fldChar w:fldCharType="begin"/>
    </w:r>
    <w:r>
      <w:rPr>
        <w:rFonts w:ascii="Times New Roman Regular" w:hAnsi="Times New Roman Regular" w:eastAsia="宋体" w:cs="Times New Roman Regular"/>
        <w:sz w:val="20"/>
        <w:lang w:eastAsia="zh-CN"/>
      </w:rPr>
      <w:instrText xml:space="preserve"> PAGE   \* MERGEFORMAT </w:instrText>
    </w:r>
    <w:r>
      <w:rPr>
        <w:rFonts w:ascii="Times New Roman Regular" w:hAnsi="Times New Roman Regular" w:eastAsia="宋体" w:cs="Times New Roman Regular"/>
        <w:b w:val="0"/>
        <w:bCs w:val="0"/>
        <w:sz w:val="20"/>
      </w:rPr>
      <w:fldChar w:fldCharType="separate"/>
    </w:r>
    <w:r>
      <w:rPr>
        <w:rFonts w:ascii="Times New Roman Regular" w:hAnsi="Times New Roman Regular" w:eastAsia="宋体" w:cs="Times New Roman Regular"/>
        <w:b w:val="0"/>
        <w:bCs/>
        <w:sz w:val="20"/>
        <w:lang w:eastAsia="zh-CN"/>
      </w:rPr>
      <w:t>4</w:t>
    </w:r>
    <w:r>
      <w:rPr>
        <w:rFonts w:ascii="Times New Roman Regular" w:hAnsi="Times New Roman Regular" w:eastAsia="宋体" w:cs="Times New Roman Regular"/>
        <w:b w:val="0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lang w:eastAsia="zh-CN"/>
      </w:rPr>
    </w:pPr>
    <w:r>
      <w:rPr>
        <w:rFonts w:ascii="宋体" w:hAnsi="宋体" w:eastAsia="宋体" w:cs="宋体"/>
        <w:lang w:eastAsia="zh-CN"/>
      </w:rPr>
      <w:t>约翰</w:t>
    </w:r>
    <w:r>
      <w:rPr>
        <w:rFonts w:hint="eastAsia" w:ascii="宋体" w:hAnsi="宋体" w:eastAsia="宋体" w:cs="宋体"/>
        <w:lang w:eastAsia="zh-CN"/>
      </w:rPr>
      <w:t>·</w:t>
    </w:r>
    <w:r>
      <w:rPr>
        <w:rFonts w:ascii="宋体" w:hAnsi="宋体" w:eastAsia="宋体" w:cs="宋体"/>
        <w:lang w:eastAsia="zh-CN"/>
      </w:rPr>
      <w:t>霍普金斯大学循证</w:t>
    </w:r>
    <w:r>
      <w:rPr>
        <w:rFonts w:hint="eastAsia" w:ascii="宋体" w:hAnsi="宋体" w:eastAsia="宋体" w:cs="宋体"/>
        <w:lang w:eastAsia="zh-CN"/>
      </w:rPr>
      <w:t>护理</w:t>
    </w:r>
    <w:r>
      <w:rPr>
        <w:rFonts w:ascii="宋体" w:hAnsi="宋体" w:eastAsia="宋体" w:cs="宋体"/>
        <w:lang w:eastAsia="zh-CN"/>
      </w:rPr>
      <w:t xml:space="preserve">实践 </w:t>
    </w:r>
    <w:r>
      <w:rPr>
        <w:rFonts w:hint="eastAsia" w:ascii="宋体" w:hAnsi="宋体" w:eastAsia="宋体" w:cs="宋体"/>
        <w:lang w:eastAsia="zh-Hans"/>
      </w:rPr>
      <w:t>专业</w:t>
    </w:r>
    <w:bookmarkStart w:id="0" w:name="_GoBack"/>
    <w:bookmarkEnd w:id="0"/>
    <w:r>
      <w:rPr>
        <w:rFonts w:hint="eastAsia" w:ascii="宋体" w:hAnsi="宋体" w:eastAsia="宋体" w:cs="宋体"/>
        <w:lang w:eastAsia="zh-Hans"/>
      </w:rPr>
      <w:t>版</w:t>
    </w:r>
  </w:p>
  <w:p>
    <w:pPr>
      <w:pStyle w:val="5"/>
      <w:rPr>
        <w:rFonts w:ascii="Times New Roman" w:hAnsi="Times New Roman" w:cs="Times New Roman"/>
        <w:sz w:val="24"/>
        <w:szCs w:val="24"/>
        <w:lang w:eastAsia="zh-CN"/>
      </w:rPr>
    </w:pPr>
    <w:r>
      <w:rPr>
        <w:rFonts w:ascii="宋体" w:hAnsi="宋体" w:eastAsia="宋体" w:cs="宋体"/>
        <w:sz w:val="24"/>
        <w:szCs w:val="24"/>
        <w:lang w:eastAsia="zh-CN"/>
      </w:rPr>
      <w:t>个人证据总结工具</w:t>
    </w:r>
    <w:r>
      <w:rPr>
        <w:rFonts w:hint="eastAsia" w:ascii="宋体" w:hAnsi="宋体" w:eastAsia="宋体" w:cs="宋体"/>
        <w:sz w:val="24"/>
        <w:szCs w:val="24"/>
        <w:lang w:eastAsia="zh-CN"/>
      </w:rPr>
      <w:t>（</w:t>
    </w:r>
    <w:r>
      <w:rPr>
        <w:rFonts w:ascii="宋体" w:hAnsi="宋体" w:eastAsia="宋体" w:cs="宋体"/>
        <w:sz w:val="24"/>
        <w:szCs w:val="24"/>
        <w:lang w:eastAsia="zh-CN"/>
      </w:rPr>
      <w:t>附录H</w:t>
    </w:r>
    <w:r>
      <w:rPr>
        <w:rFonts w:hint="eastAsia" w:ascii="宋体" w:hAnsi="宋体" w:eastAsia="宋体" w:cs="宋体"/>
        <w:sz w:val="24"/>
        <w:szCs w:val="24"/>
        <w:lang w:eastAsia="zh-CN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3273EF"/>
    <w:multiLevelType w:val="multilevel"/>
    <w:tmpl w:val="0D3273EF"/>
    <w:lvl w:ilvl="0" w:tentative="0">
      <w:start w:val="1"/>
      <w:numFmt w:val="bullet"/>
      <w:suff w:val="space"/>
      <w:lvlText w:val=""/>
      <w:lvlJc w:val="left"/>
      <w:pPr>
        <w:ind w:left="0" w:firstLine="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9D6114A"/>
    <w:multiLevelType w:val="multilevel"/>
    <w:tmpl w:val="39D6114A"/>
    <w:lvl w:ilvl="0" w:tentative="0">
      <w:start w:val="1"/>
      <w:numFmt w:val="bullet"/>
      <w:suff w:val="space"/>
      <w:lvlText w:val=""/>
      <w:lvlJc w:val="left"/>
      <w:pPr>
        <w:ind w:left="0" w:firstLine="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4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6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8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0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2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4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6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83" w:hanging="360"/>
      </w:pPr>
      <w:rPr>
        <w:rFonts w:hint="default" w:ascii="Wingdings" w:hAnsi="Wingdings"/>
      </w:rPr>
    </w:lvl>
  </w:abstractNum>
  <w:abstractNum w:abstractNumId="2">
    <w:nsid w:val="6C7E7048"/>
    <w:multiLevelType w:val="multilevel"/>
    <w:tmpl w:val="6C7E704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27E0C51"/>
    <w:multiLevelType w:val="multilevel"/>
    <w:tmpl w:val="727E0C5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BUITSzMzEyNzC0sjSyUdpeDU4uLM/DyQAqNaABUyV/IsAAAA"/>
    <w:docVar w:name="commondata" w:val="eyJoZGlkIjoiNmI1NDExNDE1NjYxZjBkZmYyOTI4OTkyMTNjYmUzZGUifQ=="/>
  </w:docVars>
  <w:rsids>
    <w:rsidRoot w:val="00E64B75"/>
    <w:rsid w:val="00000823"/>
    <w:rsid w:val="0001313D"/>
    <w:rsid w:val="00017B4E"/>
    <w:rsid w:val="0002274C"/>
    <w:rsid w:val="0004429C"/>
    <w:rsid w:val="00047548"/>
    <w:rsid w:val="00060AC4"/>
    <w:rsid w:val="000647CF"/>
    <w:rsid w:val="000722EE"/>
    <w:rsid w:val="000831FF"/>
    <w:rsid w:val="00086184"/>
    <w:rsid w:val="000A4B1E"/>
    <w:rsid w:val="000B2A51"/>
    <w:rsid w:val="000B5665"/>
    <w:rsid w:val="0010144E"/>
    <w:rsid w:val="00110060"/>
    <w:rsid w:val="00151771"/>
    <w:rsid w:val="00165395"/>
    <w:rsid w:val="00171A59"/>
    <w:rsid w:val="00177FC1"/>
    <w:rsid w:val="001A1A7A"/>
    <w:rsid w:val="001A6F91"/>
    <w:rsid w:val="001B1D4C"/>
    <w:rsid w:val="001C51E3"/>
    <w:rsid w:val="001D703D"/>
    <w:rsid w:val="001E0743"/>
    <w:rsid w:val="001E4618"/>
    <w:rsid w:val="00214102"/>
    <w:rsid w:val="00214BAA"/>
    <w:rsid w:val="00226441"/>
    <w:rsid w:val="00253D4C"/>
    <w:rsid w:val="00254FDF"/>
    <w:rsid w:val="00265113"/>
    <w:rsid w:val="0026638B"/>
    <w:rsid w:val="00266CE8"/>
    <w:rsid w:val="0027095F"/>
    <w:rsid w:val="00281BF7"/>
    <w:rsid w:val="002A607C"/>
    <w:rsid w:val="002C0162"/>
    <w:rsid w:val="002C1B7B"/>
    <w:rsid w:val="002C6F2D"/>
    <w:rsid w:val="002D059A"/>
    <w:rsid w:val="002E4928"/>
    <w:rsid w:val="002E7C11"/>
    <w:rsid w:val="002F0451"/>
    <w:rsid w:val="002F59C4"/>
    <w:rsid w:val="002F75DE"/>
    <w:rsid w:val="003022B5"/>
    <w:rsid w:val="00307452"/>
    <w:rsid w:val="00325BF9"/>
    <w:rsid w:val="00333CDF"/>
    <w:rsid w:val="00344F78"/>
    <w:rsid w:val="00364771"/>
    <w:rsid w:val="00376036"/>
    <w:rsid w:val="003955CC"/>
    <w:rsid w:val="003B1CFB"/>
    <w:rsid w:val="003B3F6D"/>
    <w:rsid w:val="003B433B"/>
    <w:rsid w:val="003B6DC5"/>
    <w:rsid w:val="003C6FC3"/>
    <w:rsid w:val="003D7F13"/>
    <w:rsid w:val="003E2A87"/>
    <w:rsid w:val="00401644"/>
    <w:rsid w:val="00416B54"/>
    <w:rsid w:val="0042322C"/>
    <w:rsid w:val="00452457"/>
    <w:rsid w:val="00456B11"/>
    <w:rsid w:val="00457C2A"/>
    <w:rsid w:val="00476C56"/>
    <w:rsid w:val="0048255B"/>
    <w:rsid w:val="00486A8D"/>
    <w:rsid w:val="004B422E"/>
    <w:rsid w:val="004B5554"/>
    <w:rsid w:val="004F58E7"/>
    <w:rsid w:val="005030E7"/>
    <w:rsid w:val="005057CD"/>
    <w:rsid w:val="00507010"/>
    <w:rsid w:val="00507862"/>
    <w:rsid w:val="00527EBB"/>
    <w:rsid w:val="00540F61"/>
    <w:rsid w:val="00542DCF"/>
    <w:rsid w:val="005474F0"/>
    <w:rsid w:val="00551C83"/>
    <w:rsid w:val="0056226E"/>
    <w:rsid w:val="00566352"/>
    <w:rsid w:val="00566D7F"/>
    <w:rsid w:val="00570CC3"/>
    <w:rsid w:val="005775F7"/>
    <w:rsid w:val="005814B4"/>
    <w:rsid w:val="00586404"/>
    <w:rsid w:val="00591ED8"/>
    <w:rsid w:val="005935D7"/>
    <w:rsid w:val="005B1B23"/>
    <w:rsid w:val="005B1E7A"/>
    <w:rsid w:val="005D26F8"/>
    <w:rsid w:val="005D42A1"/>
    <w:rsid w:val="0062161A"/>
    <w:rsid w:val="00630DA5"/>
    <w:rsid w:val="006464EF"/>
    <w:rsid w:val="00651825"/>
    <w:rsid w:val="0065458C"/>
    <w:rsid w:val="0065494D"/>
    <w:rsid w:val="00664D89"/>
    <w:rsid w:val="00666084"/>
    <w:rsid w:val="00675C60"/>
    <w:rsid w:val="00693F0A"/>
    <w:rsid w:val="00696623"/>
    <w:rsid w:val="006A0F64"/>
    <w:rsid w:val="006A63D4"/>
    <w:rsid w:val="006B2D40"/>
    <w:rsid w:val="006B2DBA"/>
    <w:rsid w:val="006C2A4C"/>
    <w:rsid w:val="006C3AAA"/>
    <w:rsid w:val="006E3C2D"/>
    <w:rsid w:val="006E62FA"/>
    <w:rsid w:val="006F0421"/>
    <w:rsid w:val="00700AA2"/>
    <w:rsid w:val="007072D0"/>
    <w:rsid w:val="00720051"/>
    <w:rsid w:val="00724277"/>
    <w:rsid w:val="00761FA6"/>
    <w:rsid w:val="0076709D"/>
    <w:rsid w:val="007704A9"/>
    <w:rsid w:val="0077280B"/>
    <w:rsid w:val="00780419"/>
    <w:rsid w:val="007846B2"/>
    <w:rsid w:val="007A7B41"/>
    <w:rsid w:val="007B0CE7"/>
    <w:rsid w:val="007C3439"/>
    <w:rsid w:val="007D3C8C"/>
    <w:rsid w:val="007D5CB1"/>
    <w:rsid w:val="007D694E"/>
    <w:rsid w:val="007D7AC5"/>
    <w:rsid w:val="007E05BC"/>
    <w:rsid w:val="007F0D2C"/>
    <w:rsid w:val="007F5D89"/>
    <w:rsid w:val="008072E3"/>
    <w:rsid w:val="00807D71"/>
    <w:rsid w:val="0081132D"/>
    <w:rsid w:val="008158B2"/>
    <w:rsid w:val="00823DD5"/>
    <w:rsid w:val="00827E4F"/>
    <w:rsid w:val="00830DF6"/>
    <w:rsid w:val="00840D3F"/>
    <w:rsid w:val="008419C9"/>
    <w:rsid w:val="00852862"/>
    <w:rsid w:val="0086597F"/>
    <w:rsid w:val="00877A4D"/>
    <w:rsid w:val="00877C15"/>
    <w:rsid w:val="00877FE8"/>
    <w:rsid w:val="00885430"/>
    <w:rsid w:val="008B2053"/>
    <w:rsid w:val="008B39E5"/>
    <w:rsid w:val="008E21A5"/>
    <w:rsid w:val="008F0455"/>
    <w:rsid w:val="008F4923"/>
    <w:rsid w:val="00906883"/>
    <w:rsid w:val="009071AF"/>
    <w:rsid w:val="009113FC"/>
    <w:rsid w:val="0091223D"/>
    <w:rsid w:val="00912752"/>
    <w:rsid w:val="0092024F"/>
    <w:rsid w:val="00924D9F"/>
    <w:rsid w:val="00931B95"/>
    <w:rsid w:val="00947E85"/>
    <w:rsid w:val="00952316"/>
    <w:rsid w:val="00961436"/>
    <w:rsid w:val="009973A7"/>
    <w:rsid w:val="009A6948"/>
    <w:rsid w:val="009D0AFA"/>
    <w:rsid w:val="009D27E0"/>
    <w:rsid w:val="009D55AD"/>
    <w:rsid w:val="009E0576"/>
    <w:rsid w:val="009E0E26"/>
    <w:rsid w:val="009E52DD"/>
    <w:rsid w:val="009F1F9D"/>
    <w:rsid w:val="009F5A42"/>
    <w:rsid w:val="00A01100"/>
    <w:rsid w:val="00A078ED"/>
    <w:rsid w:val="00A33704"/>
    <w:rsid w:val="00A50347"/>
    <w:rsid w:val="00A54D73"/>
    <w:rsid w:val="00A654C8"/>
    <w:rsid w:val="00A815B0"/>
    <w:rsid w:val="00A8764E"/>
    <w:rsid w:val="00AB1F65"/>
    <w:rsid w:val="00AB5D7B"/>
    <w:rsid w:val="00AE62C0"/>
    <w:rsid w:val="00AF1CE8"/>
    <w:rsid w:val="00AF3332"/>
    <w:rsid w:val="00B02DFA"/>
    <w:rsid w:val="00B11BB0"/>
    <w:rsid w:val="00B155F5"/>
    <w:rsid w:val="00B2357B"/>
    <w:rsid w:val="00B559B6"/>
    <w:rsid w:val="00B637EE"/>
    <w:rsid w:val="00BB04D0"/>
    <w:rsid w:val="00BD3986"/>
    <w:rsid w:val="00BE5BD5"/>
    <w:rsid w:val="00BF067A"/>
    <w:rsid w:val="00BF58FC"/>
    <w:rsid w:val="00C10AD4"/>
    <w:rsid w:val="00C11E8D"/>
    <w:rsid w:val="00C17C2F"/>
    <w:rsid w:val="00C207CC"/>
    <w:rsid w:val="00C24A74"/>
    <w:rsid w:val="00C27BEA"/>
    <w:rsid w:val="00C72872"/>
    <w:rsid w:val="00C75630"/>
    <w:rsid w:val="00C82F81"/>
    <w:rsid w:val="00C96AB7"/>
    <w:rsid w:val="00CA673C"/>
    <w:rsid w:val="00CA6A91"/>
    <w:rsid w:val="00CC0261"/>
    <w:rsid w:val="00CD13E9"/>
    <w:rsid w:val="00CF19AD"/>
    <w:rsid w:val="00D000DE"/>
    <w:rsid w:val="00D03DF6"/>
    <w:rsid w:val="00D05E75"/>
    <w:rsid w:val="00D16B8E"/>
    <w:rsid w:val="00D202A2"/>
    <w:rsid w:val="00D215CA"/>
    <w:rsid w:val="00D26AE3"/>
    <w:rsid w:val="00D35E6C"/>
    <w:rsid w:val="00D5061C"/>
    <w:rsid w:val="00D912F8"/>
    <w:rsid w:val="00D960F6"/>
    <w:rsid w:val="00D97105"/>
    <w:rsid w:val="00DA170A"/>
    <w:rsid w:val="00DB0063"/>
    <w:rsid w:val="00DB3741"/>
    <w:rsid w:val="00DC38BA"/>
    <w:rsid w:val="00DC3D72"/>
    <w:rsid w:val="00DC5453"/>
    <w:rsid w:val="00DC6BF3"/>
    <w:rsid w:val="00E01D15"/>
    <w:rsid w:val="00E070B6"/>
    <w:rsid w:val="00E13C8F"/>
    <w:rsid w:val="00E16741"/>
    <w:rsid w:val="00E24AFE"/>
    <w:rsid w:val="00E346B5"/>
    <w:rsid w:val="00E52BDE"/>
    <w:rsid w:val="00E54335"/>
    <w:rsid w:val="00E64B75"/>
    <w:rsid w:val="00E7437A"/>
    <w:rsid w:val="00E85350"/>
    <w:rsid w:val="00EB2CBB"/>
    <w:rsid w:val="00EC1896"/>
    <w:rsid w:val="00EC1E1B"/>
    <w:rsid w:val="00EE14F8"/>
    <w:rsid w:val="00F12A0F"/>
    <w:rsid w:val="00F27A2B"/>
    <w:rsid w:val="00F35F25"/>
    <w:rsid w:val="00F40762"/>
    <w:rsid w:val="00F44DDF"/>
    <w:rsid w:val="00F65E0E"/>
    <w:rsid w:val="00F86800"/>
    <w:rsid w:val="00F87103"/>
    <w:rsid w:val="00FA6670"/>
    <w:rsid w:val="00FB125A"/>
    <w:rsid w:val="00FC0332"/>
    <w:rsid w:val="00FC09F6"/>
    <w:rsid w:val="00FC4616"/>
    <w:rsid w:val="00FD276B"/>
    <w:rsid w:val="00FE6E2D"/>
    <w:rsid w:val="02CC63AE"/>
    <w:rsid w:val="03D6BFB9"/>
    <w:rsid w:val="06AFB0FE"/>
    <w:rsid w:val="07AE672A"/>
    <w:rsid w:val="07E4F5D4"/>
    <w:rsid w:val="09960FEE"/>
    <w:rsid w:val="0CF04AC1"/>
    <w:rsid w:val="0E4E5380"/>
    <w:rsid w:val="0F6840F5"/>
    <w:rsid w:val="10859140"/>
    <w:rsid w:val="115313E2"/>
    <w:rsid w:val="11668993"/>
    <w:rsid w:val="11A127E4"/>
    <w:rsid w:val="139E553B"/>
    <w:rsid w:val="155340E7"/>
    <w:rsid w:val="1617E7C9"/>
    <w:rsid w:val="18D858FF"/>
    <w:rsid w:val="1A5265E3"/>
    <w:rsid w:val="1B89C9D9"/>
    <w:rsid w:val="1D281C98"/>
    <w:rsid w:val="1E346C73"/>
    <w:rsid w:val="1EF38AF8"/>
    <w:rsid w:val="219732B2"/>
    <w:rsid w:val="24141987"/>
    <w:rsid w:val="24D1D269"/>
    <w:rsid w:val="24E5DD97"/>
    <w:rsid w:val="25E81314"/>
    <w:rsid w:val="261EE99B"/>
    <w:rsid w:val="2665B539"/>
    <w:rsid w:val="268C7711"/>
    <w:rsid w:val="26BDA3FF"/>
    <w:rsid w:val="2830E780"/>
    <w:rsid w:val="293212C8"/>
    <w:rsid w:val="2A353F73"/>
    <w:rsid w:val="2C861B10"/>
    <w:rsid w:val="2CDFE43E"/>
    <w:rsid w:val="2F95BEBC"/>
    <w:rsid w:val="2FF5B512"/>
    <w:rsid w:val="319C58DF"/>
    <w:rsid w:val="31F04131"/>
    <w:rsid w:val="3A8F0884"/>
    <w:rsid w:val="3B1CB092"/>
    <w:rsid w:val="3B330FD7"/>
    <w:rsid w:val="3B6B033F"/>
    <w:rsid w:val="3D162CF7"/>
    <w:rsid w:val="3F704D4B"/>
    <w:rsid w:val="402F748B"/>
    <w:rsid w:val="403009BE"/>
    <w:rsid w:val="40915FBB"/>
    <w:rsid w:val="41F43F5B"/>
    <w:rsid w:val="437EC50B"/>
    <w:rsid w:val="438B75BD"/>
    <w:rsid w:val="4449CE97"/>
    <w:rsid w:val="451A956C"/>
    <w:rsid w:val="45E6FDE4"/>
    <w:rsid w:val="47EC4058"/>
    <w:rsid w:val="4E06712D"/>
    <w:rsid w:val="4E481A1B"/>
    <w:rsid w:val="4EC834F9"/>
    <w:rsid w:val="4F525FE4"/>
    <w:rsid w:val="50CD6969"/>
    <w:rsid w:val="51FA8ABF"/>
    <w:rsid w:val="52A58800"/>
    <w:rsid w:val="550DC33F"/>
    <w:rsid w:val="56A3E8DB"/>
    <w:rsid w:val="59ED445E"/>
    <w:rsid w:val="5A0AE7A0"/>
    <w:rsid w:val="5ADEC4EF"/>
    <w:rsid w:val="5DFD7163"/>
    <w:rsid w:val="605BD7A4"/>
    <w:rsid w:val="612B90C5"/>
    <w:rsid w:val="61C79A7C"/>
    <w:rsid w:val="677F4C17"/>
    <w:rsid w:val="6974D473"/>
    <w:rsid w:val="6B20538E"/>
    <w:rsid w:val="6D79CF83"/>
    <w:rsid w:val="70372E0C"/>
    <w:rsid w:val="707C943A"/>
    <w:rsid w:val="70C85B8A"/>
    <w:rsid w:val="714FE8B7"/>
    <w:rsid w:val="71C2D60D"/>
    <w:rsid w:val="779510E6"/>
    <w:rsid w:val="78BD8D46"/>
    <w:rsid w:val="794E4062"/>
    <w:rsid w:val="79BF2679"/>
    <w:rsid w:val="79CB9E68"/>
    <w:rsid w:val="7B52415B"/>
    <w:rsid w:val="7C4ABF1C"/>
    <w:rsid w:val="7EC7CE40"/>
    <w:rsid w:val="BA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16"/>
      <w:szCs w:val="16"/>
    </w:rPr>
  </w:style>
  <w:style w:type="paragraph" w:styleId="12">
    <w:name w:val="List Paragraph"/>
    <w:basedOn w:val="1"/>
    <w:qFormat/>
    <w:uiPriority w:val="1"/>
    <w:pPr>
      <w:ind w:left="720"/>
      <w:contextualSpacing/>
    </w:pPr>
  </w:style>
  <w:style w:type="character" w:customStyle="1" w:styleId="13">
    <w:name w:val="批注文字 字符"/>
    <w:basedOn w:val="10"/>
    <w:link w:val="2"/>
    <w:semiHidden/>
    <w:qFormat/>
    <w:uiPriority w:val="99"/>
    <w:rPr>
      <w:sz w:val="20"/>
      <w:szCs w:val="20"/>
    </w:rPr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  <w:sz w:val="20"/>
      <w:szCs w:val="20"/>
    </w:rPr>
  </w:style>
  <w:style w:type="character" w:customStyle="1" w:styleId="15">
    <w:name w:val="批注框文本 字符"/>
    <w:basedOn w:val="10"/>
    <w:link w:val="3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6">
    <w:name w:val="页眉 字符"/>
    <w:basedOn w:val="10"/>
    <w:link w:val="5"/>
    <w:qFormat/>
    <w:uiPriority w:val="99"/>
  </w:style>
  <w:style w:type="character" w:customStyle="1" w:styleId="17">
    <w:name w:val="页脚 字符"/>
    <w:basedOn w:val="10"/>
    <w:link w:val="4"/>
    <w:uiPriority w:val="99"/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Johns Hopkins</Company>
  <Pages>4</Pages>
  <Words>1722</Words>
  <Characters>1741</Characters>
  <Lines>14</Lines>
  <Paragraphs>4</Paragraphs>
  <TotalTime>46</TotalTime>
  <ScaleCrop>false</ScaleCrop>
  <LinksUpToDate>false</LinksUpToDate>
  <CharactersWithSpaces>1837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2021-05-20T22:26:00Z</dcterms:created>
  <dc:creator>Maddie Whalen</dc:creator>
  <cp:lastModifiedBy>丁宁</cp:lastModifiedBy>
  <dcterms:modified xsi:type="dcterms:W3CDTF">2023-04-23T08:30:35Z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GrammarlyDocumentId">
    <vt:lpwstr>99a1da7fee9b40ae90b149b1d7c6d4278a81572e2c9715ff9d8ef334974ed01f</vt:lpwstr>
  </property>
  <property fmtid="{D5CDD505-2E9C-101B-9397-08002B2CF9AE}" pid="4" name="KSOProductBuildVer">
    <vt:lpwstr>2052-11.1.0.14036</vt:lpwstr>
  </property>
  <property fmtid="{D5CDD505-2E9C-101B-9397-08002B2CF9AE}" pid="5" name="ICV">
    <vt:lpwstr>6DC7C6A96F834E54B7F0B07A335683D6_13</vt:lpwstr>
  </property>
</Properties>
</file>