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4"/>
        <w:rPr>
          <w:rFonts w:eastAsia="宋体" w:cs="宋体"/>
          <w:sz w:val="24"/>
          <w:szCs w:val="28"/>
          <w:lang w:eastAsia="zh-CN"/>
        </w:rPr>
      </w:pPr>
    </w:p>
    <w:p>
      <w:pPr>
        <w:ind w:right="144"/>
        <w:rPr>
          <w:rFonts w:eastAsia="宋体"/>
          <w:sz w:val="24"/>
          <w:szCs w:val="28"/>
          <w:lang w:eastAsia="zh-CN"/>
        </w:rPr>
      </w:pPr>
      <w:r>
        <w:rPr>
          <w:rFonts w:ascii="Times New Roman" w:hAnsi="Times New Roman" w:eastAsia="宋体" w:cs="宋体"/>
          <w:sz w:val="24"/>
          <w:szCs w:val="28"/>
          <w:lang w:eastAsia="zh-CN"/>
        </w:rPr>
        <w:t>循证实践项目发布模板</w:t>
      </w:r>
    </w:p>
    <w:tbl>
      <w:tblPr>
        <w:tblStyle w:val="10"/>
        <w:tblW w:w="107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95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标题和摘要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95" w:type="dxa"/>
          </w:tcPr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标题</w:t>
            </w:r>
            <w:r>
              <w:rPr>
                <w:rFonts w:eastAsia="宋体" w:cs="宋体"/>
                <w:b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将报告/项目确定为基于证据的项目</w:t>
            </w: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95" w:type="dxa"/>
          </w:tcPr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摘要</w:t>
            </w:r>
            <w:r>
              <w:rPr>
                <w:rFonts w:eastAsia="宋体" w:cs="宋体"/>
                <w:b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 xml:space="preserve">提供摘要，其中包括（如适用）：EBP 项目的基本原理、EBP 问题、文献检索和评估方法、结果、最佳证据综合和结构转化建议。 </w:t>
            </w: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bookmarkStart w:id="0" w:name="_GoBack"/>
            <w:bookmarkEnd w:id="0"/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eastAsia="宋体"/>
          <w:sz w:val="24"/>
          <w:szCs w:val="24"/>
          <w:lang w:eastAsia="zh-CN"/>
        </w:rPr>
      </w:pPr>
    </w:p>
    <w:tbl>
      <w:tblPr>
        <w:tblStyle w:val="10"/>
        <w:tblW w:w="107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0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89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</w:rPr>
              <w:t>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vMerge w:val="restart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ind w:left="113" w:right="113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附录 B</w:t>
            </w:r>
          </w:p>
        </w:tc>
        <w:tc>
          <w:tcPr>
            <w:tcW w:w="10289" w:type="dxa"/>
          </w:tcPr>
          <w:p>
            <w:pPr>
              <w:widowControl/>
              <w:autoSpaceDE/>
              <w:autoSpaceDN/>
              <w:rPr>
                <w:rFonts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EBP 项目的基本原理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描述问题、验证问题的内部数据、问题的重要性、不解决问题的风险以及当前的做法。</w:t>
            </w: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vMerge w:val="continue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89" w:type="dxa"/>
          </w:tcPr>
          <w:p>
            <w:pPr>
              <w:widowControl/>
              <w:autoSpaceDE/>
              <w:autoSpaceDN/>
              <w:rPr>
                <w:rFonts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可用知识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 xml:space="preserve">包括目前从文献中了解到的有关该问题的内容，以拥有广阔的视野（如组织上的、全国性的、全球性的）。  </w:t>
            </w: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vMerge w:val="continue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89" w:type="dxa"/>
          </w:tcPr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EBP问题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使用PICO格式提供正在解决的EBP问题。</w:t>
            </w: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eastAsia="宋体"/>
          <w:sz w:val="24"/>
          <w:szCs w:val="24"/>
          <w:lang w:eastAsia="zh-CN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0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55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ind w:left="113" w:right="113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>
            <w:pPr>
              <w:widowControl/>
              <w:autoSpaceDE/>
              <w:autoSpaceDN/>
              <w:rPr>
                <w:rFonts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信息来源</w:t>
            </w:r>
            <w:r>
              <w:rPr>
                <w:rFonts w:ascii="Times New Roman" w:hAnsi="Times New Roman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描述证据搜索中使用的来源（如数据库、标准、临床实践指南、组织数据、循证专业组织立场声明、共识研究）。</w:t>
            </w: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vMerge w:val="restart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ind w:left="113" w:right="113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附录 B</w:t>
            </w:r>
          </w:p>
        </w:tc>
        <w:tc>
          <w:tcPr>
            <w:tcW w:w="10255" w:type="dxa"/>
          </w:tcPr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搜索方法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说明纳入和排除标准、日期范围和搜索策略限制的理由。</w:t>
            </w: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vMerge w:val="continue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55" w:type="dxa"/>
          </w:tcPr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关键字</w:t>
            </w:r>
            <w:r>
              <w:rPr>
                <w:rFonts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列出用于文献检索的关键词、短语或检索概念。</w:t>
            </w: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D8D8D8" w:themeFill="background1" w:themeFillShade="D9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55" w:type="dxa"/>
          </w:tcPr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文章筛选</w:t>
            </w:r>
            <w:r>
              <w:rPr>
                <w:rFonts w:ascii="Times New Roman" w:hAnsi="Times New Roman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描述文献检索结果的标题、摘要和全文筛选过程。</w:t>
            </w: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</w:trPr>
        <w:tc>
          <w:tcPr>
            <w:tcW w:w="535" w:type="dxa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ind w:left="113" w:right="113"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55" w:type="dxa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数据收集和文章评估过程</w:t>
            </w:r>
            <w:r>
              <w:rPr>
                <w:rFonts w:ascii="Times New Roman" w:hAnsi="Times New Roman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解释文章评估完成的过程，包括使用的模型（约翰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eastAsia="zh-CN"/>
              </w:rPr>
              <w:t>·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霍普金斯循证模型和指南）、审稿人的数量、单个证据总结工具表工具表中收集的要素，以及团队如何解决差异/达成共识。</w:t>
            </w: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D8D8D8" w:themeFill="background1" w:themeFillShade="D9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55" w:type="dxa"/>
          </w:tcPr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综合、建议和转化过程</w:t>
            </w:r>
            <w:r>
              <w:rPr>
                <w:rFonts w:ascii="Times New Roman" w:hAnsi="Times New Roman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描述用于整合证据、生成最佳证据建议并将其转化为团队环境的过程。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 xml:space="preserve">  </w:t>
            </w: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eastAsia="宋体"/>
          <w:sz w:val="24"/>
          <w:szCs w:val="24"/>
          <w:lang w:eastAsia="zh-CN"/>
        </w:rPr>
      </w:pPr>
    </w:p>
    <w:tbl>
      <w:tblPr>
        <w:tblStyle w:val="10"/>
        <w:tblW w:w="107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0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60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D8D8D8" w:themeFill="background1" w:themeFillShade="D9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0260" w:type="dxa"/>
          </w:tcPr>
          <w:p>
            <w:pPr>
              <w:widowControl/>
              <w:autoSpaceDE/>
              <w:autoSpaceDN/>
              <w:rPr>
                <w:rFonts w:eastAsia="宋体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研究选择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提供EBP团队筛选的文章数量，包括最终纳入综合和推荐的文章数量。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</w:rPr>
              <w:t>考虑使用流程图。</w:t>
            </w:r>
            <w:r>
              <w:rPr>
                <w:rFonts w:ascii="Times New Roman" w:hAnsi="Times New Roman" w:eastAsia="宋体" w:cs="宋体"/>
                <w:sz w:val="24"/>
                <w:szCs w:val="24"/>
              </w:rPr>
              <w:t xml:space="preserve">  </w:t>
            </w:r>
          </w:p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vMerge w:val="restart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ind w:left="113" w:right="113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附录G</w:t>
            </w:r>
          </w:p>
        </w:tc>
        <w:tc>
          <w:tcPr>
            <w:tcW w:w="10260" w:type="dxa"/>
          </w:tcPr>
          <w:p>
            <w:pPr>
              <w:widowControl/>
              <w:autoSpaceDE/>
              <w:autoSpaceDN/>
              <w:rPr>
                <w:rFonts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学习特点</w:t>
            </w:r>
            <w:r>
              <w:rPr>
                <w:rFonts w:ascii="Times New Roman" w:hAnsi="Times New Roman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以表格形式呈现所有纳入文章中单个证据总结工具表中的相关信息（例如，作者、证据类型、人口规模和背景、干预、</w:t>
            </w:r>
            <w:r>
              <w:rPr>
                <w:rFonts w:eastAsia="宋体" w:cs="宋体"/>
                <w:sz w:val="24"/>
                <w:szCs w:val="24"/>
                <w:lang w:eastAsia="zh-CN"/>
              </w:rPr>
              <w:t>解决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EBP问题的发现、使用的措施、局限性以及水平和质量等级）.</w:t>
            </w: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 xml:space="preserve">  </w:t>
            </w: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vMerge w:val="continue"/>
            <w:shd w:val="clear" w:color="auto" w:fill="D8D8D8" w:themeFill="background1" w:themeFillShade="D9"/>
          </w:tcPr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260" w:type="dxa"/>
          </w:tcPr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个别研究的结果</w:t>
            </w:r>
            <w:r>
              <w:rPr>
                <w:rFonts w:ascii="Times New Roman" w:hAnsi="Times New Roman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考虑通过视觉显示（表格、图形或图表）包含每项研究的其他感兴趣元素的价值，以提供更深入的描述和清晰度。</w:t>
            </w:r>
            <w:r>
              <w:rPr>
                <w:rFonts w:ascii="Times New Roman" w:hAnsi="Times New Roman" w:eastAsia="宋体" w:cs="宋体"/>
                <w:color w:val="7F7F7F" w:themeColor="background1" w:themeShade="80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eastAsia="宋体"/>
          <w:sz w:val="24"/>
          <w:szCs w:val="24"/>
          <w:lang w:eastAsia="zh-CN"/>
        </w:rPr>
      </w:pPr>
    </w:p>
    <w:tbl>
      <w:tblPr>
        <w:tblStyle w:val="10"/>
        <w:tblW w:w="10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0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" w:type="dxa"/>
            <w:shd w:val="clear" w:color="auto" w:fill="000000" w:themeFill="text1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165" w:type="dxa"/>
            <w:shd w:val="clear" w:color="auto" w:fill="000000" w:themeFill="text1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atLeast"/>
        </w:trPr>
        <w:tc>
          <w:tcPr>
            <w:tcW w:w="625" w:type="dxa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ind w:left="113" w:right="113"/>
              <w:jc w:val="center"/>
              <w:rPr>
                <w:rFonts w:eastAsia="宋体"/>
                <w:sz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</w:rPr>
              <w:t>附录H</w:t>
            </w:r>
          </w:p>
        </w:tc>
        <w:tc>
          <w:tcPr>
            <w:tcW w:w="10165" w:type="dxa"/>
          </w:tcPr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证据综合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综合整体证据审查的结果，包括强度（水平、质量）、数量和最佳证据建议。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" w:type="dxa"/>
            <w:shd w:val="clear" w:color="auto" w:fill="D8D8D8" w:themeFill="background1" w:themeFillShade="D9"/>
          </w:tcPr>
          <w:p>
            <w:pPr>
              <w:widowControl/>
              <w:autoSpaceDE/>
              <w:autoSpaceDN/>
              <w:rPr>
                <w:rFonts w:eastAsia="宋体"/>
                <w:sz w:val="24"/>
                <w:lang w:eastAsia="zh-CN"/>
              </w:rPr>
            </w:pPr>
          </w:p>
        </w:tc>
        <w:tc>
          <w:tcPr>
            <w:tcW w:w="10165" w:type="dxa"/>
          </w:tcPr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限制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讨论项目的局限性。这可能包括审查中文章的局限性（如质量低、样本量小）和审核过程本身的局限性（例如，难以检索所有相关文章）。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" w:type="dxa"/>
            <w:shd w:val="clear" w:color="auto" w:fill="D8D8D8" w:themeFill="background1" w:themeFillShade="D9"/>
          </w:tcPr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165" w:type="dxa"/>
          </w:tcPr>
          <w:p>
            <w:pPr>
              <w:widowControl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结论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包括对问题的简短重述及其重要性以及对相关发现的广泛解释——避免总结关键点。显示项目是否或在多大程度上成功</w:t>
            </w:r>
            <w:r>
              <w:rPr>
                <w:rFonts w:eastAsia="宋体" w:cs="宋体"/>
                <w:sz w:val="24"/>
                <w:szCs w:val="24"/>
                <w:lang w:eastAsia="zh-CN"/>
              </w:rPr>
              <w:t>解决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了 PICO 问题</w:t>
            </w:r>
            <w:r>
              <w:rPr>
                <w:rFonts w:hint="eastAsia" w:eastAsia="宋体" w:cs="宋体"/>
                <w:sz w:val="24"/>
                <w:szCs w:val="24"/>
                <w:lang w:eastAsia="zh-Hans"/>
              </w:rPr>
              <w:t>等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 xml:space="preserve"> </w:t>
            </w:r>
          </w:p>
        </w:tc>
      </w:tr>
    </w:tbl>
    <w:p>
      <w:pPr>
        <w:rPr>
          <w:rFonts w:eastAsia="宋体"/>
          <w:sz w:val="24"/>
          <w:szCs w:val="24"/>
          <w:lang w:eastAsia="zh-CN"/>
        </w:rPr>
      </w:pPr>
    </w:p>
    <w:p>
      <w:pPr>
        <w:rPr>
          <w:rFonts w:eastAsia="宋体"/>
          <w:sz w:val="24"/>
          <w:szCs w:val="24"/>
          <w:lang w:eastAsia="zh-CN"/>
        </w:rPr>
      </w:pPr>
    </w:p>
    <w:tbl>
      <w:tblPr>
        <w:tblStyle w:val="10"/>
        <w:tblW w:w="107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0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170" w:type="dxa"/>
            <w:shd w:val="clear" w:color="auto" w:fill="1E1C11" w:themeFill="background2" w:themeFillShade="1A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 xml:space="preserve">启示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5" w:hRule="atLeast"/>
        </w:trPr>
        <w:tc>
          <w:tcPr>
            <w:tcW w:w="625" w:type="dxa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ind w:left="113" w:right="113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 xml:space="preserve">附录 C 和 </w:t>
            </w:r>
            <w:r>
              <w:rPr>
                <w:rFonts w:hint="eastAsia" w:eastAsia="宋体" w:cs="宋体"/>
                <w:b/>
                <w:sz w:val="24"/>
                <w:szCs w:val="24"/>
                <w:lang w:eastAsia="zh-Hans"/>
              </w:rPr>
              <w:t>I</w:t>
            </w:r>
          </w:p>
        </w:tc>
        <w:tc>
          <w:tcPr>
            <w:tcW w:w="10170" w:type="dxa"/>
          </w:tcPr>
          <w:p>
            <w:pPr>
              <w:widowControl/>
              <w:autoSpaceDE/>
              <w:autoSpaceDN/>
              <w:rPr>
                <w:rFonts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  <w:lang w:eastAsia="zh-CN"/>
              </w:rPr>
              <w:t>转化策略</w:t>
            </w:r>
            <w:r>
              <w:rPr>
                <w:rFonts w:ascii="Times New Roman" w:hAnsi="Times New Roman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描述针对具体组织的建议和行动计划，包括对风险、适合性、可行性、可接受性和利益相关者参与的考虑。</w:t>
            </w: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25" w:type="dxa"/>
            <w:shd w:val="clear" w:color="auto" w:fill="D8D8D8" w:themeFill="background1" w:themeFillShade="D9"/>
            <w:textDirection w:val="btLr"/>
          </w:tcPr>
          <w:p>
            <w:pPr>
              <w:widowControl/>
              <w:autoSpaceDE/>
              <w:autoSpaceDN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ascii="Times New Roman" w:hAnsi="Times New Roman" w:eastAsia="宋体" w:cs="宋体"/>
                <w:b/>
                <w:sz w:val="24"/>
                <w:szCs w:val="24"/>
              </w:rPr>
              <w:t>附录</w:t>
            </w:r>
            <w:r>
              <w:rPr>
                <w:rFonts w:hint="eastAsia" w:ascii="Times New Roman" w:hAnsi="Times New Roman" w:eastAsia="宋体" w:cs="宋体"/>
                <w:b/>
                <w:sz w:val="24"/>
                <w:szCs w:val="24"/>
              </w:rPr>
              <w:t>Ⅰ</w:t>
            </w:r>
          </w:p>
        </w:tc>
        <w:tc>
          <w:tcPr>
            <w:tcW w:w="10170" w:type="dxa"/>
          </w:tcPr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  <w:t>结果</w:t>
            </w:r>
            <w:r>
              <w:rPr>
                <w:rFonts w:ascii="Times New Roman" w:hAnsi="Times New Roman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宋体" w:cs="宋体"/>
                <w:color w:val="auto"/>
                <w:sz w:val="24"/>
                <w:szCs w:val="24"/>
                <w:lang w:eastAsia="zh-CN"/>
              </w:rPr>
              <w:t>确定与项目成功改变相关的方法如果项目已经实施，请报告相关成果。</w:t>
            </w:r>
          </w:p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shd w:val="clear" w:color="auto" w:fill="FFFFFF"/>
              <w:autoSpaceDE/>
              <w:autoSpaceDN/>
              <w:rPr>
                <w:rFonts w:eastAsia="宋体"/>
                <w:color w:val="808080" w:themeColor="text1" w:themeTint="80"/>
                <w:sz w:val="24"/>
                <w:szCs w:val="24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widowControl/>
              <w:autoSpaceDE/>
              <w:autoSpaceDN/>
              <w:rPr>
                <w:rFonts w:eastAsia="宋体"/>
                <w:b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eastAsia="宋体"/>
          <w:sz w:val="24"/>
          <w:szCs w:val="24"/>
          <w:lang w:eastAsia="zh-CN"/>
        </w:rPr>
      </w:pPr>
    </w:p>
    <w:p>
      <w:pPr>
        <w:rPr>
          <w:rFonts w:eastAsia="宋体"/>
          <w:sz w:val="24"/>
          <w:szCs w:val="24"/>
          <w:lang w:eastAsia="zh-CN"/>
        </w:rPr>
      </w:pPr>
    </w:p>
    <w:p>
      <w:pPr>
        <w:ind w:right="144"/>
        <w:rPr>
          <w:rFonts w:eastAsia="宋体"/>
          <w:b/>
          <w:sz w:val="24"/>
          <w:szCs w:val="24"/>
          <w:lang w:eastAsia="zh-CN"/>
        </w:rPr>
      </w:pPr>
      <w:r>
        <w:rPr>
          <w:rFonts w:ascii="Times New Roman" w:hAnsi="Times New Roman" w:eastAsia="宋体" w:cs="宋体"/>
          <w:b/>
          <w:sz w:val="24"/>
          <w:szCs w:val="24"/>
          <w:lang w:eastAsia="zh-CN"/>
        </w:rPr>
        <w:t>传播工具表使用说明</w:t>
      </w:r>
    </w:p>
    <w:p>
      <w:pPr>
        <w:ind w:right="144"/>
        <w:rPr>
          <w:rFonts w:eastAsia="宋体"/>
          <w:b/>
          <w:sz w:val="24"/>
          <w:szCs w:val="24"/>
          <w:lang w:eastAsia="zh-CN"/>
        </w:rPr>
      </w:pPr>
    </w:p>
    <w:p>
      <w:pPr>
        <w:spacing w:before="60" w:after="120" w:line="278" w:lineRule="auto"/>
        <w:ind w:right="432"/>
        <w:rPr>
          <w:rFonts w:eastAsia="宋体"/>
          <w:sz w:val="24"/>
          <w:szCs w:val="24"/>
          <w:lang w:eastAsia="zh-CN"/>
        </w:rPr>
      </w:pPr>
      <w:r>
        <w:rPr>
          <w:rFonts w:ascii="Times New Roman" w:hAnsi="Times New Roman" w:eastAsia="宋体" w:cs="宋体"/>
          <w:b/>
          <w:sz w:val="24"/>
          <w:szCs w:val="24"/>
          <w:lang w:eastAsia="zh-CN"/>
        </w:rPr>
        <w:t>目的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：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本模板</w:t>
      </w:r>
      <w:r>
        <w:rPr>
          <w:rFonts w:hint="eastAsia" w:eastAsia="宋体" w:cs="宋体"/>
          <w:sz w:val="24"/>
          <w:szCs w:val="24"/>
          <w:lang w:val="en-US" w:eastAsia="zh-CN"/>
        </w:rPr>
        <w:t>是结构化指南，为撰写以发表为目的的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循证实践项目</w:t>
      </w:r>
      <w:r>
        <w:rPr>
          <w:rFonts w:hint="eastAsia" w:eastAsia="宋体" w:cs="宋体"/>
          <w:sz w:val="24"/>
          <w:szCs w:val="24"/>
          <w:lang w:val="en-US" w:eastAsia="zh-CN"/>
        </w:rPr>
        <w:t>稿件提供帮助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。</w:t>
      </w:r>
      <w:r>
        <w:rPr>
          <w:rFonts w:hint="eastAsia" w:eastAsia="宋体" w:cs="宋体"/>
          <w:sz w:val="24"/>
          <w:szCs w:val="24"/>
          <w:lang w:val="en-US" w:eastAsia="zh-CN"/>
        </w:rPr>
        <w:t>指南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的每个部分都包括项目的各个方面，以</w:t>
      </w:r>
      <w:r>
        <w:rPr>
          <w:rFonts w:hint="eastAsia" w:eastAsia="宋体" w:cs="宋体"/>
          <w:sz w:val="24"/>
          <w:szCs w:val="24"/>
          <w:lang w:val="en-US" w:eastAsia="zh-CN"/>
        </w:rPr>
        <w:t>确保稿件的完整性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。</w:t>
      </w:r>
      <w:r>
        <w:rPr>
          <w:rFonts w:hint="eastAsia" w:eastAsia="宋体" w:cs="宋体"/>
          <w:sz w:val="24"/>
          <w:szCs w:val="24"/>
          <w:lang w:val="en-US" w:eastAsia="zh-CN"/>
        </w:rPr>
        <w:t>指南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还可以帮助团队成员进行写作分工，并指导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EBP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项目的将内容归属到对应每个标题（引言、方法、结果和结论），而不会出现冗余。当使用时，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JHEBP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模型工具提供了许多稿件所需的信息。使用附录中的参考资料来定位团队以前的工作。本模板</w:t>
      </w:r>
      <w:r>
        <w:rPr>
          <w:rFonts w:hint="eastAsia" w:eastAsia="宋体" w:cs="宋体"/>
          <w:sz w:val="24"/>
          <w:szCs w:val="24"/>
          <w:lang w:val="en-US" w:eastAsia="zh-CN"/>
        </w:rPr>
        <w:t>的创建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参照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SQUIRE 2.0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指南（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Ogrinc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等，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2016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）、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PRISMA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声明（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Moher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等，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2009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）和循证实践过程质量评估指南（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Lee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等，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>2013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）。</w:t>
      </w:r>
      <w:r>
        <w:rPr>
          <w:rFonts w:ascii="Times New Roman" w:hAnsi="Times New Roman" w:eastAsia="宋体" w:cs="宋体"/>
          <w:sz w:val="24"/>
          <w:szCs w:val="24"/>
          <w:lang w:eastAsia="zh-CN"/>
        </w:rPr>
        <w:t xml:space="preserve">   </w:t>
      </w:r>
    </w:p>
    <w:p>
      <w:pPr>
        <w:spacing w:before="60" w:after="120" w:line="278" w:lineRule="auto"/>
        <w:ind w:right="432"/>
        <w:rPr>
          <w:rFonts w:eastAsia="宋体"/>
          <w:sz w:val="24"/>
          <w:szCs w:val="24"/>
          <w:lang w:eastAsia="zh-CN"/>
        </w:rPr>
      </w:pPr>
    </w:p>
    <w:p>
      <w:pPr>
        <w:shd w:val="clear" w:color="auto" w:fill="FFFFFF"/>
        <w:spacing w:before="100" w:beforeAutospacing="1" w:after="100" w:afterAutospacing="1"/>
        <w:rPr>
          <w:rFonts w:eastAsia="宋体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宋体"/>
          <w:b/>
          <w:bCs/>
          <w:color w:val="222222"/>
          <w:sz w:val="24"/>
          <w:szCs w:val="24"/>
          <w:shd w:val="clear" w:color="auto" w:fill="FFFFFF"/>
        </w:rPr>
        <w:t xml:space="preserve">参考 </w:t>
      </w:r>
      <w:r>
        <w:rPr>
          <w:rFonts w:hint="eastAsia" w:eastAsia="宋体" w:cs="宋体"/>
          <w:b/>
          <w:bCs/>
          <w:color w:val="222222"/>
          <w:sz w:val="24"/>
          <w:szCs w:val="24"/>
          <w:shd w:val="clear" w:color="auto" w:fill="FFFFFF"/>
          <w:lang w:eastAsia="zh-CN"/>
        </w:rPr>
        <w:t>文献：</w:t>
      </w:r>
    </w:p>
    <w:p>
      <w:pPr>
        <w:shd w:val="clear" w:color="auto" w:fill="FFFFFF"/>
        <w:spacing w:before="100" w:beforeAutospacing="1" w:after="100" w:afterAutospacing="1"/>
        <w:ind w:left="720" w:hanging="720"/>
        <w:rPr>
          <w:color w:val="222222"/>
          <w:sz w:val="22"/>
          <w:szCs w:val="22"/>
          <w:shd w:val="clear" w:color="auto" w:fill="FFFFFF"/>
        </w:rPr>
      </w:pPr>
      <w:r>
        <w:rPr>
          <w:color w:val="222222"/>
          <w:sz w:val="22"/>
          <w:szCs w:val="22"/>
          <w:shd w:val="clear" w:color="auto" w:fill="FFFFFF"/>
        </w:rPr>
        <w:t>Lee, M. C., Johnson, K. L., Newhouse, R. P., &amp; Warren, J. I. (2013). Evidence</w:t>
      </w:r>
      <w:r>
        <w:rPr>
          <w:rFonts w:hint="eastAsia"/>
          <w:color w:val="222222"/>
          <w:sz w:val="22"/>
          <w:szCs w:val="22"/>
          <w:shd w:val="clear" w:color="auto" w:fill="FFFFFF"/>
        </w:rPr>
        <w:t>‐</w:t>
      </w:r>
      <w:r>
        <w:rPr>
          <w:color w:val="222222"/>
          <w:sz w:val="22"/>
          <w:szCs w:val="22"/>
          <w:shd w:val="clear" w:color="auto" w:fill="FFFFFF"/>
        </w:rPr>
        <w:t>based practice process quality assessment: EPQA guidelines. </w:t>
      </w:r>
      <w:r>
        <w:rPr>
          <w:i/>
          <w:iCs/>
          <w:color w:val="222222"/>
          <w:sz w:val="22"/>
          <w:szCs w:val="22"/>
          <w:shd w:val="clear" w:color="auto" w:fill="FFFFFF"/>
        </w:rPr>
        <w:t>Worldviews on Evidence</w:t>
      </w:r>
      <w:r>
        <w:rPr>
          <w:rFonts w:hint="eastAsia"/>
          <w:i/>
          <w:iCs/>
          <w:color w:val="222222"/>
          <w:sz w:val="22"/>
          <w:szCs w:val="22"/>
          <w:shd w:val="clear" w:color="auto" w:fill="FFFFFF"/>
        </w:rPr>
        <w:t>‐</w:t>
      </w:r>
      <w:r>
        <w:rPr>
          <w:i/>
          <w:iCs/>
          <w:color w:val="222222"/>
          <w:sz w:val="22"/>
          <w:szCs w:val="22"/>
          <w:shd w:val="clear" w:color="auto" w:fill="FFFFFF"/>
        </w:rPr>
        <w:t>Based Nursing</w:t>
      </w:r>
      <w:r>
        <w:rPr>
          <w:color w:val="222222"/>
          <w:sz w:val="22"/>
          <w:szCs w:val="22"/>
          <w:shd w:val="clear" w:color="auto" w:fill="FFFFFF"/>
        </w:rPr>
        <w:t>, </w:t>
      </w:r>
      <w:r>
        <w:rPr>
          <w:i/>
          <w:iCs/>
          <w:color w:val="222222"/>
          <w:sz w:val="22"/>
          <w:szCs w:val="22"/>
          <w:shd w:val="clear" w:color="auto" w:fill="FFFFFF"/>
        </w:rPr>
        <w:t>10</w:t>
      </w:r>
      <w:r>
        <w:rPr>
          <w:color w:val="222222"/>
          <w:sz w:val="22"/>
          <w:szCs w:val="22"/>
          <w:shd w:val="clear" w:color="auto" w:fill="FFFFFF"/>
        </w:rPr>
        <w:t xml:space="preserve">(3), 140–149. </w:t>
      </w:r>
      <w:r>
        <w:fldChar w:fldCharType="begin"/>
      </w:r>
      <w:r>
        <w:instrText xml:space="preserve">HYPERLINK "https://doi.org/10.1111/j.1741-6787.2012.00264.x"</w:instrText>
      </w:r>
      <w:r>
        <w:fldChar w:fldCharType="separate"/>
      </w:r>
      <w:r>
        <w:rPr>
          <w:rStyle w:val="13"/>
          <w:sz w:val="22"/>
          <w:szCs w:val="22"/>
          <w:shd w:val="clear" w:color="auto" w:fill="FFFFFF"/>
        </w:rPr>
        <w:t>https://doi.org/10.1111/j.1741-6787.2012.00264.x</w:t>
      </w:r>
      <w:r>
        <w:rPr>
          <w:rStyle w:val="13"/>
          <w:sz w:val="22"/>
          <w:szCs w:val="22"/>
          <w:shd w:val="clear" w:color="auto" w:fill="FFFFFF"/>
        </w:rPr>
        <w:fldChar w:fldCharType="end"/>
      </w:r>
      <w:r>
        <w:rPr>
          <w:color w:val="222222"/>
          <w:sz w:val="22"/>
          <w:szCs w:val="22"/>
          <w:shd w:val="clear" w:color="auto" w:fill="FFFFFF"/>
        </w:rPr>
        <w:t xml:space="preserve"> </w:t>
      </w:r>
    </w:p>
    <w:p>
      <w:pPr>
        <w:shd w:val="clear" w:color="auto" w:fill="FFFFFF"/>
        <w:spacing w:before="100" w:beforeAutospacing="1" w:after="100" w:afterAutospacing="1"/>
        <w:ind w:left="720" w:hanging="72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Moher, D., Liberati, A., Tetzlaff, J., Altman, D. G., &amp; the PRISMA Group. (2009). </w:t>
      </w:r>
      <w:r>
        <w:rPr>
          <w:rStyle w:val="12"/>
          <w:i w:val="0"/>
          <w:iCs w:val="0"/>
          <w:color w:val="333333"/>
          <w:sz w:val="22"/>
          <w:szCs w:val="22"/>
        </w:rPr>
        <w:t>Preferred reporting items for systematic reviews and meta-analyses:</w:t>
      </w:r>
      <w:r>
        <w:rPr>
          <w:color w:val="333333"/>
          <w:sz w:val="22"/>
          <w:szCs w:val="22"/>
        </w:rPr>
        <w:t> The PRISMA statement. </w:t>
      </w:r>
      <w:r>
        <w:fldChar w:fldCharType="begin"/>
      </w:r>
      <w:r>
        <w:instrText xml:space="preserve">HYPERLINK "file:///C:/Users/kjewett1/AppData/Local/Temp/Temp1_OneDrive_1_5-20-2021.zip/BMJ,%20339,%20b2535,%20https:/doi.org/10.1136/bmj.b2535"</w:instrText>
      </w:r>
      <w:r>
        <w:fldChar w:fldCharType="separate"/>
      </w:r>
      <w:r>
        <w:rPr>
          <w:rStyle w:val="13"/>
          <w:i/>
          <w:iCs/>
          <w:sz w:val="22"/>
          <w:szCs w:val="22"/>
        </w:rPr>
        <w:t>BMJ</w:t>
      </w:r>
      <w:r>
        <w:rPr>
          <w:rStyle w:val="13"/>
          <w:sz w:val="22"/>
          <w:szCs w:val="22"/>
        </w:rPr>
        <w:t xml:space="preserve">, </w:t>
      </w:r>
      <w:r>
        <w:rPr>
          <w:rStyle w:val="13"/>
          <w:i/>
          <w:iCs/>
          <w:sz w:val="22"/>
          <w:szCs w:val="22"/>
        </w:rPr>
        <w:t>339</w:t>
      </w:r>
      <w:r>
        <w:rPr>
          <w:rStyle w:val="13"/>
          <w:sz w:val="22"/>
          <w:szCs w:val="22"/>
        </w:rPr>
        <w:t>, b2535, https://doi.org/10.1136/bmj.b2535</w:t>
      </w:r>
      <w:r>
        <w:rPr>
          <w:rStyle w:val="13"/>
          <w:sz w:val="22"/>
          <w:szCs w:val="22"/>
        </w:rPr>
        <w:fldChar w:fldCharType="end"/>
      </w:r>
      <w:r>
        <w:rPr>
          <w:rStyle w:val="13"/>
          <w:color w:val="337AB7"/>
          <w:sz w:val="22"/>
          <w:szCs w:val="22"/>
        </w:rPr>
        <w:t xml:space="preserve"> </w:t>
      </w:r>
    </w:p>
    <w:p>
      <w:pPr>
        <w:shd w:val="clear" w:color="auto" w:fill="FFFFFF"/>
        <w:spacing w:before="100" w:beforeAutospacing="1" w:after="100" w:afterAutospacing="1"/>
        <w:ind w:left="720" w:hanging="720"/>
        <w:rPr>
          <w:sz w:val="22"/>
          <w:szCs w:val="22"/>
        </w:rPr>
      </w:pPr>
      <w:r>
        <w:rPr>
          <w:color w:val="333333"/>
          <w:sz w:val="22"/>
          <w:szCs w:val="22"/>
          <w:shd w:val="clear" w:color="auto" w:fill="FFFFFF"/>
        </w:rPr>
        <w:t>Ogrinc, G., Davies, L., Goodman, D., Batalden, P. B., Davidoff, F., &amp; Stevens, D. (2016). SQUIRE 2.0 (Standards for QUality Improvement Reporting Excellence): Revised publication guidelines from a detailed consensus process. </w:t>
      </w:r>
      <w:r>
        <w:rPr>
          <w:i/>
          <w:iCs/>
          <w:color w:val="333333"/>
          <w:sz w:val="22"/>
          <w:szCs w:val="22"/>
          <w:shd w:val="clear" w:color="auto" w:fill="FFFFFF"/>
        </w:rPr>
        <w:t>BMJ Quality and Safety</w:t>
      </w:r>
      <w:r>
        <w:rPr>
          <w:color w:val="333333"/>
          <w:sz w:val="22"/>
          <w:szCs w:val="22"/>
          <w:shd w:val="clear" w:color="auto" w:fill="FFFFFF"/>
        </w:rPr>
        <w:t xml:space="preserve">, </w:t>
      </w:r>
      <w:r>
        <w:rPr>
          <w:i/>
          <w:iCs/>
          <w:color w:val="333333"/>
          <w:sz w:val="22"/>
          <w:szCs w:val="22"/>
          <w:shd w:val="clear" w:color="auto" w:fill="FFFFFF"/>
        </w:rPr>
        <w:t>25</w:t>
      </w:r>
      <w:r>
        <w:rPr>
          <w:color w:val="333333"/>
          <w:sz w:val="22"/>
          <w:szCs w:val="22"/>
          <w:shd w:val="clear" w:color="auto" w:fill="FFFFFF"/>
        </w:rPr>
        <w:t xml:space="preserve">(12), 986–992. </w:t>
      </w:r>
      <w:r>
        <w:fldChar w:fldCharType="begin"/>
      </w:r>
      <w:r>
        <w:instrText xml:space="preserve">HYPERLINK "https://doi.org/10.1136/bmjqs-2015-004411"</w:instrText>
      </w:r>
      <w:r>
        <w:fldChar w:fldCharType="separate"/>
      </w:r>
      <w:r>
        <w:rPr>
          <w:rStyle w:val="13"/>
          <w:sz w:val="22"/>
          <w:szCs w:val="22"/>
          <w:shd w:val="clear" w:color="auto" w:fill="FFFFFF"/>
        </w:rPr>
        <w:t>https://doi.org/10.1136/bmjqs-2015-004411</w:t>
      </w:r>
      <w:r>
        <w:rPr>
          <w:rStyle w:val="13"/>
          <w:sz w:val="22"/>
          <w:szCs w:val="22"/>
          <w:shd w:val="clear" w:color="auto" w:fill="FFFFFF"/>
        </w:rPr>
        <w:fldChar w:fldCharType="end"/>
      </w:r>
      <w:r>
        <w:rPr>
          <w:color w:val="333333"/>
          <w:sz w:val="22"/>
          <w:szCs w:val="22"/>
          <w:shd w:val="clear" w:color="auto" w:fill="FFFFFF"/>
        </w:rPr>
        <w:t xml:space="preserve"> </w:t>
      </w:r>
    </w:p>
    <w:p>
      <w:pPr>
        <w:shd w:val="clear" w:color="auto" w:fill="FFFFFF"/>
        <w:spacing w:before="100" w:beforeAutospacing="1" w:after="100" w:afterAutospacing="1"/>
        <w:ind w:left="720" w:hanging="720"/>
        <w:rPr>
          <w:rFonts w:eastAsia="宋体"/>
          <w:sz w:val="24"/>
          <w:szCs w:val="24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720" w:right="720" w:bottom="720" w:left="720" w:header="576" w:footer="288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</w:tabs>
      <w:jc w:val="center"/>
      <w:rPr>
        <w:rFonts w:ascii="Times New Roman Regular" w:hAnsi="Times New Roman Regular" w:eastAsia="宋体" w:cs="Times New Roman Regular"/>
        <w:sz w:val="18"/>
        <w:szCs w:val="18"/>
        <w:lang w:eastAsia="zh-CN"/>
      </w:rPr>
    </w:pPr>
    <w:r>
      <w:rPr>
        <w:rFonts w:ascii="Times New Roman Regular" w:hAnsi="Times New Roman Regular" w:eastAsia="宋体" w:cs="Times New Roman Regular"/>
        <w:sz w:val="18"/>
        <w:szCs w:val="18"/>
        <w:lang w:eastAsia="zh-CN"/>
      </w:rPr>
      <w:t>© 2022 约翰</w:t>
    </w:r>
    <w:r>
      <w:rPr>
        <w:rFonts w:hint="eastAsia" w:ascii="Times New Roman Regular" w:hAnsi="Times New Roman Regular" w:eastAsia="宋体" w:cs="Times New Roman Regular"/>
        <w:sz w:val="18"/>
        <w:szCs w:val="18"/>
        <w:lang w:eastAsia="zh-CN"/>
      </w:rPr>
      <w:t>·</w:t>
    </w:r>
    <w:r>
      <w:rPr>
        <w:rFonts w:ascii="Times New Roman Regular" w:hAnsi="Times New Roman Regular" w:eastAsia="宋体" w:cs="Times New Roman Regular"/>
        <w:sz w:val="18"/>
        <w:szCs w:val="18"/>
        <w:lang w:eastAsia="zh-CN"/>
      </w:rPr>
      <w:t>霍普金斯卫生系统/约翰·霍普金斯护理学院</w:t>
    </w:r>
  </w:p>
  <w:sdt>
    <w:sdtPr>
      <w:rPr>
        <w:rFonts w:ascii="Times New Roman Regular" w:hAnsi="Times New Roman Regular" w:eastAsia="宋体" w:cs="Times New Roman Regular"/>
        <w:sz w:val="18"/>
        <w:szCs w:val="18"/>
      </w:rPr>
      <w:id w:val="1961307348"/>
      <w:docPartObj>
        <w:docPartGallery w:val="autotext"/>
      </w:docPartObj>
    </w:sdtPr>
    <w:sdtEndPr>
      <w:rPr>
        <w:rFonts w:ascii="Times New Roman Regular" w:hAnsi="Times New Roman Regular" w:eastAsia="宋体" w:cs="Times New Roman Regular"/>
        <w:sz w:val="18"/>
        <w:szCs w:val="18"/>
      </w:rPr>
    </w:sdtEndPr>
    <w:sdtContent>
      <w:p>
        <w:pPr>
          <w:pStyle w:val="6"/>
          <w:jc w:val="right"/>
          <w:rPr>
            <w:rFonts w:ascii="Times New Roman Regular" w:hAnsi="Times New Roman Regular" w:eastAsia="宋体" w:cs="Times New Roman Regular"/>
          </w:rPr>
        </w:pPr>
        <w:r>
          <w:rPr>
            <w:rFonts w:ascii="Times New Roman Regular" w:hAnsi="Times New Roman Regular" w:eastAsia="宋体" w:cs="Times New Roman Regular"/>
            <w:color w:val="7F7F7F"/>
            <w:spacing w:val="60"/>
          </w:rPr>
          <w:t>页码</w:t>
        </w:r>
        <w:r>
          <w:rPr>
            <w:rFonts w:ascii="Times New Roman Regular" w:hAnsi="Times New Roman Regular" w:eastAsia="宋体" w:cs="Times New Roman Regular"/>
          </w:rPr>
          <w:t xml:space="preserve">| </w:t>
        </w:r>
        <w:r>
          <w:rPr>
            <w:rFonts w:ascii="Times New Roman Regular" w:hAnsi="Times New Roman Regular" w:eastAsia="宋体" w:cs="Times New Roman Regular"/>
          </w:rPr>
          <w:fldChar w:fldCharType="begin"/>
        </w:r>
        <w:r>
          <w:rPr>
            <w:rFonts w:ascii="Times New Roman Regular" w:hAnsi="Times New Roman Regular" w:eastAsia="宋体" w:cs="Times New Roman Regular"/>
          </w:rPr>
          <w:instrText xml:space="preserve"> PAGE   \* MERGEFORMAT </w:instrText>
        </w:r>
        <w:r>
          <w:rPr>
            <w:rFonts w:ascii="Times New Roman Regular" w:hAnsi="Times New Roman Regular" w:eastAsia="宋体" w:cs="Times New Roman Regular"/>
          </w:rPr>
          <w:fldChar w:fldCharType="separate"/>
        </w:r>
        <w:r>
          <w:rPr>
            <w:rFonts w:ascii="Times New Roman Regular" w:hAnsi="Times New Roman Regular" w:eastAsia="宋体" w:cs="Times New Roman Regular"/>
          </w:rPr>
          <w:t>3</w:t>
        </w:r>
        <w:r>
          <w:rPr>
            <w:rFonts w:ascii="Times New Roman Regular" w:hAnsi="Times New Roman Regular" w:eastAsia="宋体" w:cs="Times New Roman Regular"/>
          </w:rPr>
          <w:fldChar w:fldCharType="end"/>
        </w:r>
      </w:p>
    </w:sdtContent>
  </w:sdt>
  <w:p>
    <w:pPr>
      <w:pStyle w:val="6"/>
      <w:tabs>
        <w:tab w:val="left" w:pos="8640"/>
      </w:tabs>
      <w:jc w:val="center"/>
      <w:rPr>
        <w:rFonts w:ascii="Tahoma" w:hAnsi="Tahoma" w:cs="Tahom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8"/>
        <w:szCs w:val="28"/>
        <w:lang w:eastAsia="zh-CN"/>
      </w:rPr>
    </w:pPr>
    <w:r>
      <w:rPr>
        <w:rFonts w:ascii="宋体" w:hAnsi="宋体" w:eastAsia="宋体" w:cs="宋体"/>
        <w:lang w:eastAsia="zh-CN"/>
      </w:rPr>
      <w:t>约翰</w:t>
    </w:r>
    <w:r>
      <w:rPr>
        <w:rFonts w:hint="eastAsia" w:ascii="宋体" w:hAnsi="宋体" w:eastAsia="宋体" w:cs="宋体"/>
        <w:lang w:eastAsia="zh-CN"/>
      </w:rPr>
      <w:t>·</w:t>
    </w:r>
    <w:r>
      <w:rPr>
        <w:rFonts w:ascii="宋体" w:hAnsi="宋体" w:eastAsia="宋体" w:cs="宋体"/>
        <w:lang w:eastAsia="zh-CN"/>
      </w:rPr>
      <w:t>霍普金斯大学循证</w:t>
    </w:r>
    <w:r>
      <w:rPr>
        <w:rFonts w:hint="eastAsia" w:ascii="宋体" w:hAnsi="宋体" w:eastAsia="宋体" w:cs="宋体"/>
        <w:lang w:eastAsia="zh-CN"/>
      </w:rPr>
      <w:t>护理</w:t>
    </w:r>
    <w:r>
      <w:rPr>
        <w:rFonts w:ascii="宋体" w:hAnsi="宋体" w:eastAsia="宋体" w:cs="宋体"/>
        <w:lang w:eastAsia="zh-CN"/>
      </w:rPr>
      <w:t>实践</w:t>
    </w:r>
    <w:r>
      <w:rPr>
        <w:rFonts w:hint="eastAsia" w:ascii="宋体" w:hAnsi="宋体" w:eastAsia="宋体" w:cs="宋体"/>
        <w:lang w:eastAsia="zh-CN"/>
      </w:rPr>
      <w:t xml:space="preserve"> 专业版</w:t>
    </w:r>
  </w:p>
  <w:p>
    <w:pPr>
      <w:pStyle w:val="7"/>
      <w:spacing w:after="60"/>
      <w:jc w:val="both"/>
      <w:rPr>
        <w:rFonts w:ascii="Tahoma" w:hAnsi="Tahoma" w:cs="Tahoma"/>
        <w:color w:val="000000"/>
        <w:szCs w:val="28"/>
      </w:rPr>
    </w:pPr>
    <w:r>
      <w:rPr>
        <w:rFonts w:hint="eastAsia" w:ascii="宋体" w:hAnsi="宋体" w:eastAsia="宋体" w:cs="宋体"/>
        <w:sz w:val="24"/>
        <w:szCs w:val="24"/>
        <w:lang w:eastAsia="zh-CN"/>
      </w:rPr>
      <w:t>发表</w:t>
    </w:r>
    <w:r>
      <w:rPr>
        <w:rFonts w:ascii="宋体" w:hAnsi="宋体" w:eastAsia="宋体" w:cs="宋体"/>
        <w:sz w:val="24"/>
        <w:szCs w:val="24"/>
      </w:rPr>
      <w:t xml:space="preserve">指南 </w:t>
    </w:r>
    <w:r>
      <w:rPr>
        <w:rFonts w:hint="eastAsia" w:ascii="宋体" w:hAnsi="宋体" w:eastAsia="宋体" w:cs="宋体"/>
        <w:sz w:val="24"/>
        <w:szCs w:val="24"/>
        <w:lang w:eastAsia="zh-CN"/>
      </w:rPr>
      <w:t>（</w:t>
    </w:r>
    <w:r>
      <w:rPr>
        <w:rFonts w:ascii="宋体" w:hAnsi="宋体" w:eastAsia="宋体" w:cs="宋体"/>
        <w:sz w:val="24"/>
        <w:szCs w:val="24"/>
      </w:rPr>
      <w:t>附录 J</w:t>
    </w:r>
    <w:r>
      <w:rPr>
        <w:rFonts w:hint="eastAsia" w:ascii="宋体" w:hAnsi="宋体" w:eastAsia="宋体" w:cs="宋体"/>
        <w:sz w:val="24"/>
        <w:szCs w:val="24"/>
        <w:lang w:eastAsia="zh-CN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jMztTSzMDMxMLJQ0lEKTi0uzszPAykwrgUASfd/AywAAAA="/>
    <w:docVar w:name="commondata" w:val="eyJoZGlkIjoiNmI1NDExNDE1NjYxZjBkZmYyOTI4OTkyMTNjYmUzZGUifQ=="/>
  </w:docVars>
  <w:rsids>
    <w:rsidRoot w:val="00641FE6"/>
    <w:rsid w:val="00015977"/>
    <w:rsid w:val="0002198A"/>
    <w:rsid w:val="000761C0"/>
    <w:rsid w:val="00084E59"/>
    <w:rsid w:val="00087940"/>
    <w:rsid w:val="000B6A4B"/>
    <w:rsid w:val="000D2E88"/>
    <w:rsid w:val="000D39C3"/>
    <w:rsid w:val="000D4865"/>
    <w:rsid w:val="00112382"/>
    <w:rsid w:val="00125DFF"/>
    <w:rsid w:val="001578D7"/>
    <w:rsid w:val="00164F05"/>
    <w:rsid w:val="00177F23"/>
    <w:rsid w:val="00190F72"/>
    <w:rsid w:val="001A1CAB"/>
    <w:rsid w:val="001D369D"/>
    <w:rsid w:val="001D760B"/>
    <w:rsid w:val="001F6EBE"/>
    <w:rsid w:val="00202BBB"/>
    <w:rsid w:val="00205D32"/>
    <w:rsid w:val="00281ED8"/>
    <w:rsid w:val="002B4577"/>
    <w:rsid w:val="002D42A5"/>
    <w:rsid w:val="002F6DA4"/>
    <w:rsid w:val="00317746"/>
    <w:rsid w:val="00356CFE"/>
    <w:rsid w:val="003614D9"/>
    <w:rsid w:val="003735C7"/>
    <w:rsid w:val="003744E2"/>
    <w:rsid w:val="003A5ABF"/>
    <w:rsid w:val="003C2A8E"/>
    <w:rsid w:val="003D5996"/>
    <w:rsid w:val="004033E4"/>
    <w:rsid w:val="00404DA6"/>
    <w:rsid w:val="00416DB7"/>
    <w:rsid w:val="004213B2"/>
    <w:rsid w:val="004239B9"/>
    <w:rsid w:val="00447146"/>
    <w:rsid w:val="00455B0C"/>
    <w:rsid w:val="004925A1"/>
    <w:rsid w:val="004A37D0"/>
    <w:rsid w:val="004C1CA0"/>
    <w:rsid w:val="004E3A1A"/>
    <w:rsid w:val="00500E9C"/>
    <w:rsid w:val="00521184"/>
    <w:rsid w:val="00533DF9"/>
    <w:rsid w:val="00534D8A"/>
    <w:rsid w:val="00576C97"/>
    <w:rsid w:val="00587820"/>
    <w:rsid w:val="00593090"/>
    <w:rsid w:val="005A5EB5"/>
    <w:rsid w:val="005B281C"/>
    <w:rsid w:val="005B49A9"/>
    <w:rsid w:val="005D66BF"/>
    <w:rsid w:val="005F059E"/>
    <w:rsid w:val="005F1701"/>
    <w:rsid w:val="005F4F1C"/>
    <w:rsid w:val="005F7E07"/>
    <w:rsid w:val="00641FE6"/>
    <w:rsid w:val="00643E28"/>
    <w:rsid w:val="00653B52"/>
    <w:rsid w:val="00675FAC"/>
    <w:rsid w:val="006E6A6B"/>
    <w:rsid w:val="0070635C"/>
    <w:rsid w:val="00726062"/>
    <w:rsid w:val="00737137"/>
    <w:rsid w:val="0074450C"/>
    <w:rsid w:val="00744F89"/>
    <w:rsid w:val="007507A1"/>
    <w:rsid w:val="0076123C"/>
    <w:rsid w:val="00764071"/>
    <w:rsid w:val="00775457"/>
    <w:rsid w:val="007B2D3B"/>
    <w:rsid w:val="007C19A1"/>
    <w:rsid w:val="007C2AAD"/>
    <w:rsid w:val="007C77FB"/>
    <w:rsid w:val="007D549C"/>
    <w:rsid w:val="00810199"/>
    <w:rsid w:val="00831CC6"/>
    <w:rsid w:val="0086714F"/>
    <w:rsid w:val="0087051A"/>
    <w:rsid w:val="00876E18"/>
    <w:rsid w:val="008C56AF"/>
    <w:rsid w:val="008F2BFB"/>
    <w:rsid w:val="009251CF"/>
    <w:rsid w:val="00942503"/>
    <w:rsid w:val="00944B56"/>
    <w:rsid w:val="00952791"/>
    <w:rsid w:val="00967B77"/>
    <w:rsid w:val="0097442A"/>
    <w:rsid w:val="00981939"/>
    <w:rsid w:val="00991588"/>
    <w:rsid w:val="009B187F"/>
    <w:rsid w:val="009F621E"/>
    <w:rsid w:val="00A03851"/>
    <w:rsid w:val="00A23FB3"/>
    <w:rsid w:val="00A301CB"/>
    <w:rsid w:val="00A44913"/>
    <w:rsid w:val="00A46A4F"/>
    <w:rsid w:val="00A510E2"/>
    <w:rsid w:val="00A670F6"/>
    <w:rsid w:val="00A8028F"/>
    <w:rsid w:val="00A82F97"/>
    <w:rsid w:val="00AA289E"/>
    <w:rsid w:val="00AB4EF5"/>
    <w:rsid w:val="00AC2FFA"/>
    <w:rsid w:val="00AD7B3C"/>
    <w:rsid w:val="00B17A35"/>
    <w:rsid w:val="00B2687F"/>
    <w:rsid w:val="00B67290"/>
    <w:rsid w:val="00B810AC"/>
    <w:rsid w:val="00BC3C38"/>
    <w:rsid w:val="00BC4CF7"/>
    <w:rsid w:val="00BF19DA"/>
    <w:rsid w:val="00C00611"/>
    <w:rsid w:val="00C14123"/>
    <w:rsid w:val="00C37B15"/>
    <w:rsid w:val="00C45F41"/>
    <w:rsid w:val="00C677F1"/>
    <w:rsid w:val="00CB25AB"/>
    <w:rsid w:val="00CC151D"/>
    <w:rsid w:val="00D03458"/>
    <w:rsid w:val="00D041DA"/>
    <w:rsid w:val="00D315D2"/>
    <w:rsid w:val="00D42FBE"/>
    <w:rsid w:val="00D46A49"/>
    <w:rsid w:val="00D610F0"/>
    <w:rsid w:val="00D7589F"/>
    <w:rsid w:val="00D7720E"/>
    <w:rsid w:val="00D87A92"/>
    <w:rsid w:val="00DA2BBF"/>
    <w:rsid w:val="00DC6AD8"/>
    <w:rsid w:val="00DD7644"/>
    <w:rsid w:val="00DF6461"/>
    <w:rsid w:val="00E10593"/>
    <w:rsid w:val="00E1494A"/>
    <w:rsid w:val="00E154AA"/>
    <w:rsid w:val="00E259B7"/>
    <w:rsid w:val="00E33508"/>
    <w:rsid w:val="00E507DF"/>
    <w:rsid w:val="00E61CC2"/>
    <w:rsid w:val="00E81690"/>
    <w:rsid w:val="00E82881"/>
    <w:rsid w:val="00E83EC2"/>
    <w:rsid w:val="00E845E9"/>
    <w:rsid w:val="00E92F2C"/>
    <w:rsid w:val="00EB3C90"/>
    <w:rsid w:val="00F7249C"/>
    <w:rsid w:val="00FF0C35"/>
    <w:rsid w:val="0BCB2788"/>
    <w:rsid w:val="0BF602C2"/>
    <w:rsid w:val="17D0200F"/>
    <w:rsid w:val="1F1A50D5"/>
    <w:rsid w:val="1FD7A1E6"/>
    <w:rsid w:val="2279E034"/>
    <w:rsid w:val="2B942DB2"/>
    <w:rsid w:val="38112DD7"/>
    <w:rsid w:val="4433EA89"/>
    <w:rsid w:val="4CA168D0"/>
    <w:rsid w:val="5FA3075D"/>
    <w:rsid w:val="617B24A7"/>
    <w:rsid w:val="6D7A73B9"/>
    <w:rsid w:val="6F5C6C7D"/>
    <w:rsid w:val="783F42BF"/>
    <w:rsid w:val="7BA28D7A"/>
    <w:rsid w:val="7BA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57"/>
      <w:outlineLvl w:val="0"/>
    </w:pPr>
    <w:rPr>
      <w:rFonts w:ascii="Calibri" w:hAnsi="Calibri" w:eastAsia="Calibri" w:cs="Calibr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semiHidden/>
    <w:unhideWhenUsed/>
    <w:uiPriority w:val="99"/>
    <w:rPr>
      <w:sz w:val="20"/>
      <w:szCs w:val="20"/>
    </w:rPr>
  </w:style>
  <w:style w:type="paragraph" w:styleId="4">
    <w:name w:val="Body Text"/>
    <w:basedOn w:val="1"/>
    <w:link w:val="17"/>
    <w:qFormat/>
    <w:uiPriority w:val="1"/>
    <w:rPr>
      <w:sz w:val="21"/>
      <w:szCs w:val="21"/>
    </w:rPr>
  </w:style>
  <w:style w:type="paragraph" w:styleId="5">
    <w:name w:val="Balloon Text"/>
    <w:basedOn w:val="1"/>
    <w:link w:val="23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6">
    <w:name w:val="footer"/>
    <w:basedOn w:val="1"/>
    <w:link w:val="19"/>
    <w:unhideWhenUsed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annotation subject"/>
    <w:basedOn w:val="3"/>
    <w:next w:val="3"/>
    <w:link w:val="22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Emphasis"/>
    <w:basedOn w:val="11"/>
    <w:qFormat/>
    <w:uiPriority w:val="20"/>
    <w:rPr>
      <w:i/>
      <w:iCs/>
    </w:rPr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1"/>
    <w:semiHidden/>
    <w:unhideWhenUsed/>
    <w:qFormat/>
    <w:uiPriority w:val="99"/>
    <w:rPr>
      <w:sz w:val="16"/>
      <w:szCs w:val="16"/>
    </w:r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  <w:rPr>
      <w:rFonts w:ascii="Tahoma" w:hAnsi="Tahoma" w:eastAsia="Tahoma" w:cs="Tahoma"/>
    </w:rPr>
  </w:style>
  <w:style w:type="character" w:customStyle="1" w:styleId="17">
    <w:name w:val="正文文本 字符"/>
    <w:basedOn w:val="11"/>
    <w:link w:val="4"/>
    <w:qFormat/>
    <w:uiPriority w:val="1"/>
    <w:rPr>
      <w:rFonts w:ascii="Times New Roman" w:hAnsi="Times New Roman" w:eastAsia="Times New Roman" w:cs="Times New Roman"/>
      <w:sz w:val="21"/>
      <w:szCs w:val="21"/>
    </w:rPr>
  </w:style>
  <w:style w:type="character" w:customStyle="1" w:styleId="18">
    <w:name w:val="页眉 字符"/>
    <w:basedOn w:val="11"/>
    <w:link w:val="7"/>
    <w:qFormat/>
    <w:uiPriority w:val="99"/>
    <w:rPr>
      <w:rFonts w:ascii="Times New Roman" w:hAnsi="Times New Roman" w:eastAsia="Times New Roman" w:cs="Times New Roman"/>
    </w:rPr>
  </w:style>
  <w:style w:type="character" w:customStyle="1" w:styleId="19">
    <w:name w:val="页脚 字符"/>
    <w:basedOn w:val="11"/>
    <w:link w:val="6"/>
    <w:qFormat/>
    <w:uiPriority w:val="99"/>
    <w:rPr>
      <w:rFonts w:ascii="Times New Roman" w:hAnsi="Times New Roman" w:eastAsia="Times New Roman" w:cs="Times New Roman"/>
    </w:rPr>
  </w:style>
  <w:style w:type="paragraph" w:customStyle="1" w:styleId="20">
    <w:name w:val="HB"/>
    <w:qFormat/>
    <w:uiPriority w:val="0"/>
    <w:pPr>
      <w:spacing w:after="240" w:line="240" w:lineRule="atLeast"/>
    </w:pPr>
    <w:rPr>
      <w:rFonts w:ascii="Arial" w:hAnsi="Arial" w:eastAsia="Calibri" w:cs="Times New Roman"/>
      <w:b/>
      <w:sz w:val="28"/>
      <w:lang w:val="en-US" w:eastAsia="en-US" w:bidi="ar-SA"/>
    </w:rPr>
  </w:style>
  <w:style w:type="character" w:customStyle="1" w:styleId="21">
    <w:name w:val="批注文字 字符"/>
    <w:basedOn w:val="11"/>
    <w:link w:val="3"/>
    <w:semiHidden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22">
    <w:name w:val="批注主题 字符"/>
    <w:basedOn w:val="21"/>
    <w:link w:val="8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23">
    <w:name w:val="批注框文本 字符"/>
    <w:basedOn w:val="11"/>
    <w:link w:val="5"/>
    <w:semiHidden/>
    <w:qFormat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24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修订1"/>
    <w:hidden/>
    <w:semiHidden/>
    <w:qFormat/>
    <w:uiPriority w:val="99"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26">
    <w:name w:val="Revision"/>
    <w:hidden/>
    <w:semiHidden/>
    <w:qFormat/>
    <w:uiPriority w:val="99"/>
    <w:rPr>
      <w:rFonts w:ascii="Times New Roman" w:hAnsi="Times New Roman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1300</Words>
  <Characters>1941</Characters>
  <Lines>22</Lines>
  <Paragraphs>6</Paragraphs>
  <TotalTime>32</TotalTime>
  <ScaleCrop>false</ScaleCrop>
  <LinksUpToDate>false</LinksUpToDate>
  <CharactersWithSpaces>2067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2021-05-20T22:29:00Z</dcterms:created>
  <dc:creator>Kim Bissett</dc:creator>
  <cp:lastModifiedBy>丁宁</cp:lastModifiedBy>
  <dcterms:modified xsi:type="dcterms:W3CDTF">2023-04-23T08:30:14Z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  <property fmtid="{D5CDD505-2E9C-101B-9397-08002B2CF9AE}" pid="3" name="Created">
    <vt:filetime>2017-09-08T00:00:00Z</vt:filetime>
  </property>
  <property fmtid="{D5CDD505-2E9C-101B-9397-08002B2CF9AE}" pid="4" name="Creator">
    <vt:lpwstr>Adobe InDesign CC 2015 (Macintosh)</vt:lpwstr>
  </property>
  <property fmtid="{D5CDD505-2E9C-101B-9397-08002B2CF9AE}" pid="5" name="LastSaved">
    <vt:filetime>2017-09-08T00:00:00Z</vt:filetime>
  </property>
  <property fmtid="{D5CDD505-2E9C-101B-9397-08002B2CF9AE}" pid="6" name="KSOProductBuildVer">
    <vt:lpwstr>2052-11.1.0.14036</vt:lpwstr>
  </property>
  <property fmtid="{D5CDD505-2E9C-101B-9397-08002B2CF9AE}" pid="7" name="ICV">
    <vt:lpwstr>14742B5504064EFB863BCCF1167CC94A_13</vt:lpwstr>
  </property>
</Properties>
</file>