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margin" w:tblpY="356"/>
        <w:tblOverlap w:val="never"/>
        <w:tblW w:w="143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2727"/>
        <w:gridCol w:w="10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58" w:type="dxa"/>
            <w:tcBorders>
              <w:bottom w:val="single" w:color="auto" w:sz="4" w:space="0"/>
            </w:tcBorders>
            <w:shd w:val="clear" w:color="auto" w:fill="F1F1F1" w:themeFill="background1" w:themeFillShade="F2"/>
          </w:tcPr>
          <w:p>
            <w:pPr>
              <w:spacing w:after="0" w:line="240" w:lineRule="auto"/>
              <w:ind w:left="360" w:right="285"/>
              <w:jc w:val="center"/>
              <w:textAlignment w:val="baseline"/>
              <w:rPr>
                <w:b/>
                <w:i/>
                <w:iCs/>
              </w:rPr>
            </w:pPr>
            <w:bookmarkStart w:id="7" w:name="_GoBack"/>
            <w:bookmarkEnd w:id="7"/>
          </w:p>
        </w:tc>
        <w:tc>
          <w:tcPr>
            <w:tcW w:w="2727" w:type="dxa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sz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</w:rPr>
              <w:t>证据</w:t>
            </w:r>
            <w:r>
              <w:rPr>
                <w:rFonts w:hint="eastAsia" w:ascii="Times New Roman" w:hAnsi="Times New Roman" w:eastAsia="Times New Roman" w:cs="Times New Roman"/>
                <w:b/>
                <w:sz w:val="28"/>
                <w:lang w:eastAsia="zh-Hans"/>
              </w:rPr>
              <w:t>等级</w:t>
            </w:r>
          </w:p>
        </w:tc>
        <w:tc>
          <w:tcPr>
            <w:tcW w:w="10705" w:type="dxa"/>
            <w:shd w:val="clear" w:color="auto" w:fill="F1F1F1" w:themeFill="background1" w:themeFillShade="F2"/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sz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</w:rPr>
              <w:t>证据类型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58" w:type="dxa"/>
            <w:vMerge w:val="restart"/>
            <w:tcBorders>
              <w:bottom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after="0" w:line="240" w:lineRule="auto"/>
              <w:ind w:left="113"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>研究证据</w:t>
            </w:r>
          </w:p>
          <w:p>
            <w:pPr>
              <w:spacing w:after="0" w:line="240" w:lineRule="auto"/>
              <w:ind w:left="113"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>（附录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 xml:space="preserve"> E</w:t>
            </w: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>）</w:t>
            </w:r>
          </w:p>
        </w:tc>
        <w:tc>
          <w:tcPr>
            <w:tcW w:w="2727" w:type="dxa"/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sz w:val="5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52"/>
                <w:lang w:eastAsia="zh-CN"/>
              </w:rPr>
              <w:t>第一</w:t>
            </w: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52"/>
              </w:rPr>
              <w:t>级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52"/>
              </w:rPr>
              <w:t xml:space="preserve"> </w:t>
            </w:r>
          </w:p>
        </w:tc>
        <w:tc>
          <w:tcPr>
            <w:tcW w:w="10705" w:type="dxa"/>
          </w:tcPr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实验研究，随机对照试验（RCT）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仅包括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第一级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定量研究的解释性混合方法设计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eastAsia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结合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RCT 的系统评价(</w:t>
            </w: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含或不含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Meta分析)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958" w:type="dxa"/>
            <w:vMerge w:val="continue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52"/>
                <w:lang w:eastAsia="zh-CN"/>
              </w:rPr>
            </w:pPr>
          </w:p>
        </w:tc>
        <w:tc>
          <w:tcPr>
            <w:tcW w:w="2727" w:type="dxa"/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sz w:val="5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52"/>
              </w:rPr>
              <w:t>第二级</w:t>
            </w:r>
          </w:p>
        </w:tc>
        <w:tc>
          <w:tcPr>
            <w:tcW w:w="10705" w:type="dxa"/>
          </w:tcPr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准</w:t>
            </w:r>
            <w:r>
              <w:rPr>
                <w:rFonts w:ascii="Times New Roman" w:hAnsi="Times New Roman" w:cs="Times New Roman"/>
                <w:sz w:val="24"/>
              </w:rPr>
              <w:t>实验研究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仅包括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第二级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定量研究的解释性混合方法设计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eastAsia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结合RCT和准实验研究，或仅</w:t>
            </w: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结合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准实验研究的系统评价(</w:t>
            </w: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含或不含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Meta分析)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958" w:type="dxa"/>
            <w:vMerge w:val="continue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52"/>
                <w:lang w:eastAsia="zh-CN"/>
              </w:rPr>
            </w:pPr>
          </w:p>
        </w:tc>
        <w:tc>
          <w:tcPr>
            <w:tcW w:w="2727" w:type="dxa"/>
            <w:tcBorders>
              <w:bottom w:val="single" w:color="7F7F7F" w:themeColor="background1" w:themeShade="80" w:sz="36" w:space="0"/>
            </w:tcBorders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5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52"/>
              </w:rPr>
              <w:t>第三级</w:t>
            </w:r>
          </w:p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sz w:val="52"/>
              </w:rPr>
            </w:pPr>
          </w:p>
        </w:tc>
        <w:tc>
          <w:tcPr>
            <w:tcW w:w="10705" w:type="dxa"/>
            <w:tcBorders>
              <w:bottom w:val="single" w:color="7F7F7F" w:themeColor="background1" w:themeShade="80" w:sz="36" w:space="0"/>
            </w:tcBorders>
          </w:tcPr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非实验性研究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结合RCT、准实验</w:t>
            </w:r>
            <w:r>
              <w:rPr>
                <w:rFonts w:hint="eastAsia" w:ascii="Times New Roman" w:hAnsi="Times New Roman" w:eastAsia="Times New Roman" w:cs="Times New Roman"/>
                <w:sz w:val="24"/>
                <w:lang w:eastAsia="zh-Hans"/>
              </w:rPr>
              <w:t>研究</w:t>
            </w: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和非实验性研究，或仅</w:t>
            </w:r>
            <w:r>
              <w:rPr>
                <w:rFonts w:hint="eastAsia" w:ascii="Times New Roman" w:hAnsi="Times New Roman" w:eastAsia="Times New Roman" w:cs="Times New Roman"/>
                <w:sz w:val="24"/>
                <w:lang w:eastAsia="zh-Hans"/>
              </w:rPr>
              <w:t>结合</w:t>
            </w: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非实验研</w:t>
            </w:r>
            <w:r>
              <w:rPr>
                <w:rFonts w:hint="eastAsia" w:ascii="Times New Roman" w:hAnsi="Times New Roman" w:eastAsia="Times New Roman" w:cs="Times New Roman"/>
                <w:sz w:val="24"/>
                <w:lang w:eastAsia="zh-Hans"/>
              </w:rPr>
              <w:t>究</w:t>
            </w: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的系统评价(</w:t>
            </w:r>
            <w:r>
              <w:rPr>
                <w:rFonts w:hint="eastAsia" w:ascii="Times New Roman" w:hAnsi="Times New Roman" w:eastAsia="Times New Roman" w:cs="Times New Roman"/>
                <w:sz w:val="24"/>
                <w:lang w:eastAsia="zh-Hans"/>
              </w:rPr>
              <w:t>含或不含</w:t>
            </w: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Meta分析)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  <w:lang w:eastAsia="zh-CN"/>
              </w:rPr>
            </w:pPr>
            <w:bookmarkStart w:id="0" w:name="OLE_LINK3"/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探索性、</w:t>
            </w:r>
            <w:bookmarkStart w:id="1" w:name="OLE_LINK4"/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聚敛式、多相</w:t>
            </w:r>
            <w:bookmarkEnd w:id="0"/>
            <w:bookmarkEnd w:id="1"/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混合方法研究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仅包括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第三级</w:t>
            </w: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定量研究的解释性混合方法设计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定性研究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定性系统评价（</w:t>
            </w:r>
            <w:r>
              <w:rPr>
                <w:rFonts w:hint="eastAsia" w:ascii="Times New Roman" w:hAnsi="Times New Roman" w:eastAsia="Times New Roman" w:cs="Times New Roman"/>
                <w:sz w:val="24"/>
                <w:lang w:eastAsia="zh-Hans"/>
              </w:rPr>
              <w:t>含或不含</w:t>
            </w:r>
            <w:r>
              <w:rPr>
                <w:rFonts w:ascii="Times New Roman" w:hAnsi="Times New Roman" w:eastAsia="Times New Roman" w:cs="Times New Roman"/>
                <w:sz w:val="24"/>
                <w:lang w:eastAsia="zh-CN"/>
              </w:rPr>
              <w:t>Meta整合）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958" w:type="dxa"/>
            <w:vMerge w:val="restart"/>
            <w:tcBorders>
              <w:top w:val="single" w:color="7F7F7F" w:themeColor="background1" w:themeShade="80" w:sz="36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after="0" w:line="240" w:lineRule="auto"/>
              <w:ind w:left="113"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>非研究证据</w:t>
            </w:r>
          </w:p>
          <w:p>
            <w:pPr>
              <w:spacing w:after="0" w:line="240" w:lineRule="auto"/>
              <w:ind w:left="113"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>（附录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 xml:space="preserve"> F</w:t>
            </w:r>
            <w:r>
              <w:rPr>
                <w:rFonts w:hint="eastAsia" w:ascii="Times New Roman" w:hAnsi="Times New Roman" w:eastAsia="Times New Roman" w:cs="Times New Roman"/>
                <w:b/>
                <w:color w:val="auto"/>
                <w:sz w:val="32"/>
                <w:lang w:eastAsia="zh-CN"/>
              </w:rPr>
              <w:t>）</w:t>
            </w:r>
          </w:p>
        </w:tc>
        <w:tc>
          <w:tcPr>
            <w:tcW w:w="2727" w:type="dxa"/>
            <w:tcBorders>
              <w:top w:val="single" w:color="7F7F7F" w:themeColor="background1" w:themeShade="80" w:sz="36" w:space="0"/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5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52"/>
              </w:rPr>
              <w:t>第四级</w:t>
            </w:r>
          </w:p>
        </w:tc>
        <w:tc>
          <w:tcPr>
            <w:tcW w:w="10705" w:type="dxa"/>
            <w:tcBorders>
              <w:top w:val="single" w:color="7F7F7F" w:themeColor="background1" w:themeShade="80" w:sz="36" w:space="0"/>
              <w:bottom w:val="single" w:color="auto" w:sz="4" w:space="0"/>
            </w:tcBorders>
          </w:tcPr>
          <w:p>
            <w:pPr>
              <w:pStyle w:val="3"/>
              <w:framePr w:hSpace="0" w:wrap="auto" w:vAnchor="margin" w:hAnchor="text" w:xAlign="left" w:yAlign="inline"/>
              <w:spacing w:before="120" w:after="100" w:line="276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权威机构和/或国家认可的专家委员会或共识小组基于科学证据的意见。</w:t>
            </w:r>
            <w:r>
              <w:rPr>
                <w:rFonts w:ascii="Times New Roman" w:hAnsi="Times New Roman" w:cs="Times New Roman"/>
                <w:sz w:val="24"/>
              </w:rPr>
              <w:t>包括：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临床实践指南</w:t>
            </w:r>
          </w:p>
          <w:p>
            <w:pPr>
              <w:pStyle w:val="20"/>
              <w:numPr>
                <w:ilvl w:val="0"/>
                <w:numId w:val="2"/>
              </w:numPr>
              <w:spacing w:after="0" w:line="276" w:lineRule="auto"/>
              <w:ind w:right="285"/>
              <w:textAlignment w:val="baseline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小组</w:t>
            </w:r>
            <w:r>
              <w:rPr>
                <w:rFonts w:hint="eastAsia" w:ascii="Times New Roman" w:hAnsi="Times New Roman" w:eastAsia="Times New Roman" w:cs="Times New Roman"/>
                <w:sz w:val="24"/>
                <w:lang w:eastAsia="zh-Hans"/>
              </w:rPr>
              <w:t>共识</w:t>
            </w:r>
            <w:r>
              <w:rPr>
                <w:rFonts w:ascii="Times New Roman" w:hAnsi="Times New Roman" w:eastAsia="Times New Roman" w:cs="Times New Roman"/>
                <w:sz w:val="24"/>
              </w:rPr>
              <w:t>/立场声明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8" w:type="dxa"/>
            <w:vMerge w:val="continue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FABAB" w:themeColor="background2" w:themeShade="BF"/>
                <w:sz w:val="52"/>
              </w:rPr>
            </w:pPr>
          </w:p>
        </w:tc>
        <w:tc>
          <w:tcPr>
            <w:tcW w:w="2727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ind w:right="285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color w:val="auto"/>
                <w:sz w:val="5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52"/>
              </w:rPr>
              <w:t>第五级</w:t>
            </w:r>
          </w:p>
        </w:tc>
        <w:tc>
          <w:tcPr>
            <w:tcW w:w="10705" w:type="dxa"/>
            <w:tcBorders>
              <w:bottom w:val="single" w:color="auto" w:sz="4" w:space="0"/>
            </w:tcBorders>
          </w:tcPr>
          <w:p>
            <w:pPr>
              <w:pStyle w:val="3"/>
              <w:framePr w:hSpace="0" w:wrap="auto" w:vAnchor="margin" w:hAnchor="text" w:xAlign="left" w:yAlign="inline"/>
              <w:spacing w:line="276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基于</w:t>
            </w: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实验证据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和非研究证据。</w:t>
            </w:r>
            <w:r>
              <w:rPr>
                <w:rFonts w:ascii="Times New Roman" w:hAnsi="Times New Roman" w:cs="Times New Roman"/>
                <w:sz w:val="24"/>
              </w:rPr>
              <w:t>包括：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范围综述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</w:rPr>
            </w:pPr>
            <w:bookmarkStart w:id="2" w:name="OLE_LINK5"/>
            <w:r>
              <w:rPr>
                <w:rFonts w:ascii="Times New Roman" w:hAnsi="Times New Roman" w:cs="Times New Roman"/>
                <w:sz w:val="24"/>
              </w:rPr>
              <w:t>整合性综述</w:t>
            </w:r>
          </w:p>
          <w:bookmarkEnd w:id="2"/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文献综述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质量改进、项目或财务评估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案例</w:t>
            </w:r>
            <w:r>
              <w:rPr>
                <w:rFonts w:ascii="Times New Roman" w:hAnsi="Times New Roman" w:cs="Times New Roman"/>
                <w:sz w:val="24"/>
              </w:rPr>
              <w:t>报告</w:t>
            </w:r>
          </w:p>
          <w:p>
            <w:pPr>
              <w:pStyle w:val="3"/>
              <w:framePr w:hSpace="0" w:wrap="auto" w:vAnchor="margin" w:hAnchor="text" w:xAlign="left" w:yAlign="inline"/>
              <w:numPr>
                <w:ilvl w:val="0"/>
                <w:numId w:val="1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国家认可专家的</w:t>
            </w:r>
            <w:r>
              <w:rPr>
                <w:rFonts w:hint="eastAsia" w:ascii="Times New Roman" w:hAnsi="Times New Roman" w:cs="Times New Roman"/>
                <w:sz w:val="24"/>
                <w:lang w:eastAsia="zh-Hans"/>
              </w:rPr>
              <w:t>基于实验证据的</w:t>
            </w:r>
            <w:r>
              <w:rPr>
                <w:rFonts w:ascii="Times New Roman" w:hAnsi="Times New Roman" w:cs="Times New Roman"/>
                <w:sz w:val="24"/>
                <w:lang w:eastAsia="zh-CN"/>
              </w:rPr>
              <w:t>意见</w:t>
            </w:r>
          </w:p>
        </w:tc>
      </w:tr>
    </w:tbl>
    <w:p>
      <w:pPr>
        <w:ind w:right="2102"/>
        <w:rPr>
          <w:rFonts w:ascii="Times New Roman Regular" w:hAnsi="Times New Roman Regular" w:eastAsia="宋体" w:cs="Times New Roman Regular"/>
          <w:sz w:val="20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CN"/>
        </w:rPr>
        <w:t>注意：请参阅适当的证据评估工具（研究</w:t>
      </w: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Hans"/>
        </w:rPr>
        <w:t>证据</w:t>
      </w:r>
      <w:r>
        <w:rPr>
          <w:rFonts w:ascii="Times New Roman Regular" w:hAnsi="Times New Roman Regular" w:eastAsia="宋体" w:cs="Times New Roman Regular"/>
          <w:sz w:val="20"/>
          <w:szCs w:val="24"/>
          <w:lang w:eastAsia="zh-CN"/>
        </w:rPr>
        <w:t xml:space="preserve"> [</w:t>
      </w: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CN"/>
        </w:rPr>
        <w:t>附录</w:t>
      </w:r>
      <w:r>
        <w:rPr>
          <w:rFonts w:ascii="Times New Roman Regular" w:hAnsi="Times New Roman Regular" w:eastAsia="宋体" w:cs="Times New Roman Regular"/>
          <w:sz w:val="20"/>
          <w:szCs w:val="24"/>
          <w:lang w:eastAsia="zh-CN"/>
        </w:rPr>
        <w:t xml:space="preserve"> E] </w:t>
      </w: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CN"/>
        </w:rPr>
        <w:t>或非研究</w:t>
      </w: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Hans"/>
        </w:rPr>
        <w:t>证据</w:t>
      </w:r>
      <w:r>
        <w:rPr>
          <w:rFonts w:ascii="Times New Roman Regular" w:hAnsi="Times New Roman Regular" w:eastAsia="宋体" w:cs="Times New Roman Regular"/>
          <w:sz w:val="20"/>
          <w:szCs w:val="24"/>
          <w:lang w:eastAsia="zh-CN"/>
        </w:rPr>
        <w:t xml:space="preserve"> [</w:t>
      </w: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CN"/>
        </w:rPr>
        <w:t>附录</w:t>
      </w:r>
      <w:r>
        <w:rPr>
          <w:rFonts w:ascii="Times New Roman Regular" w:hAnsi="Times New Roman Regular" w:eastAsia="宋体" w:cs="Times New Roman Regular"/>
          <w:sz w:val="20"/>
          <w:szCs w:val="24"/>
          <w:lang w:eastAsia="zh-CN"/>
        </w:rPr>
        <w:t xml:space="preserve"> F]</w:t>
      </w:r>
      <w:r>
        <w:rPr>
          <w:rFonts w:hint="eastAsia" w:ascii="Times New Roman Regular" w:hAnsi="Times New Roman Regular" w:eastAsia="宋体" w:cs="Times New Roman Regular"/>
          <w:sz w:val="20"/>
          <w:szCs w:val="24"/>
          <w:lang w:eastAsia="zh-CN"/>
        </w:rPr>
        <w:t>）以确定质量评级。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5840" w:h="12240" w:orient="landscape"/>
      <w:pgMar w:top="180" w:right="720" w:bottom="720" w:left="720" w:header="18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" w:hAnsi="Times New Roman" w:cs="Times New Roman"/>
        <w:sz w:val="20"/>
        <w:lang w:eastAsia="zh-CN"/>
      </w:rPr>
    </w:pPr>
    <w:r>
      <w:rPr>
        <w:rFonts w:ascii="Times New Roman" w:hAnsi="Times New Roman" w:cs="Times New Roman"/>
        <w:sz w:val="20"/>
      </w:rPr>
      <w:tab/>
    </w:r>
    <w:bookmarkStart w:id="5" w:name="OLE_LINK2"/>
    <w:r>
      <w:rPr>
        <w:rFonts w:ascii="Times New Roman Regular" w:hAnsi="Times New Roman Regular" w:eastAsia="宋体" w:cs="Times New Roman Regular"/>
        <w:sz w:val="20"/>
      </w:rPr>
      <w:tab/>
    </w:r>
    <w:bookmarkStart w:id="6" w:name="OLE_LINK8"/>
    <w:r>
      <w:rPr>
        <w:rFonts w:ascii="Times New Roman Regular" w:hAnsi="Times New Roman Regular" w:eastAsia="宋体" w:cs="Times New Roman Regular"/>
        <w:sz w:val="20"/>
        <w:lang w:eastAsia="zh-CN"/>
      </w:rPr>
      <w:t xml:space="preserve">© 2022 </w:t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约翰·霍普金斯卫生系统</w:t>
    </w:r>
    <w:r>
      <w:rPr>
        <w:rFonts w:ascii="Times New Roman Regular" w:hAnsi="Times New Roman Regular" w:eastAsia="宋体" w:cs="Times New Roman Regular"/>
        <w:sz w:val="20"/>
        <w:lang w:eastAsia="zh-CN"/>
      </w:rPr>
      <w:t>/</w:t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约翰·霍普金斯护理学院</w:t>
    </w:r>
    <w:bookmarkEnd w:id="5"/>
    <w:bookmarkEnd w:id="6"/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页码</w:t>
    </w:r>
    <w:r>
      <w:rPr>
        <w:rFonts w:ascii="Times New Roman Regular" w:hAnsi="Times New Roman Regular" w:eastAsia="宋体" w:cs="Times New Roman Regular"/>
        <w:sz w:val="20"/>
        <w:lang w:eastAsia="zh-CN"/>
      </w:rPr>
      <w:t xml:space="preserve"> |</w:t>
    </w:r>
    <w:r>
      <w:rPr>
        <w:rFonts w:ascii="Times New Roman Regular" w:hAnsi="Times New Roman Regular" w:eastAsia="宋体" w:cs="Times New Roman Regular"/>
        <w:sz w:val="20"/>
      </w:rPr>
      <w:fldChar w:fldCharType="begin"/>
    </w:r>
    <w:r>
      <w:rPr>
        <w:rFonts w:ascii="Times New Roman Regular" w:hAnsi="Times New Roman Regular" w:eastAsia="宋体" w:cs="Times New Roman Regular"/>
        <w:sz w:val="20"/>
        <w:lang w:eastAsia="zh-CN"/>
      </w:rPr>
      <w:instrText xml:space="preserve"> PAGE   \* MERGEFORMAT </w:instrText>
    </w:r>
    <w:r>
      <w:rPr>
        <w:rFonts w:ascii="Times New Roman Regular" w:hAnsi="Times New Roman Regular" w:eastAsia="宋体" w:cs="Times New Roman Regular"/>
        <w:b w:val="0"/>
        <w:sz w:val="20"/>
      </w:rPr>
      <w:fldChar w:fldCharType="separate"/>
    </w:r>
    <w:r>
      <w:rPr>
        <w:rFonts w:ascii="Times New Roman Regular" w:hAnsi="Times New Roman Regular" w:eastAsia="宋体" w:cs="Times New Roman Regular"/>
        <w:b w:val="0"/>
        <w:sz w:val="20"/>
        <w:lang w:eastAsia="zh-CN"/>
      </w:rPr>
      <w:t>1</w:t>
    </w:r>
    <w:r>
      <w:rPr>
        <w:rFonts w:ascii="Times New Roman Regular" w:hAnsi="Times New Roman Regular" w:eastAsia="宋体" w:cs="Times New Roman Regular"/>
        <w:b w:val="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30" w:after="120" w:line="240" w:lineRule="auto"/>
      <w:contextualSpacing/>
      <w:jc w:val="center"/>
      <w:rPr>
        <w:rFonts w:hint="eastAsia" w:ascii="Times New Roman Regular" w:hAnsi="Times New Roman Regular" w:eastAsia="宋体" w:cs="Times New Roman Regular"/>
        <w:lang w:eastAsia="zh-CN"/>
      </w:rPr>
    </w:pPr>
    <w:bookmarkStart w:id="3" w:name="OLE_LINK1"/>
    <w:bookmarkStart w:id="4" w:name="OLE_LINK6"/>
    <w:r>
      <w:rPr>
        <w:rFonts w:hint="eastAsia" w:ascii="Times New Roman Regular" w:hAnsi="Times New Roman Regular" w:eastAsia="宋体" w:cs="Times New Roman Regular"/>
        <w:lang w:eastAsia="zh-CN"/>
      </w:rPr>
      <w:t>约翰·霍普金斯大学循证护理实践</w:t>
    </w:r>
    <w:r>
      <w:rPr>
        <w:rFonts w:hint="default" w:ascii="Times New Roman Regular" w:hAnsi="Times New Roman Regular" w:eastAsia="宋体" w:cs="Times New Roman Regular"/>
        <w:lang w:eastAsia="zh-CN"/>
      </w:rPr>
      <w:t xml:space="preserve"> </w:t>
    </w:r>
    <w:r>
      <w:rPr>
        <w:rFonts w:hint="eastAsia" w:ascii="Times New Roman Regular" w:hAnsi="Times New Roman Regular" w:eastAsia="宋体" w:cs="Times New Roman Regular"/>
        <w:lang w:val="en-US" w:eastAsia="zh-Hans"/>
      </w:rPr>
      <w:t>专业版</w:t>
    </w:r>
    <w:bookmarkEnd w:id="3"/>
  </w:p>
  <w:bookmarkEnd w:id="4"/>
  <w:p>
    <w:pPr>
      <w:spacing w:before="30" w:after="120" w:line="240" w:lineRule="auto"/>
      <w:contextualSpacing/>
      <w:rPr>
        <w:rFonts w:ascii="Times New Roman Regular" w:hAnsi="Times New Roman Regular" w:eastAsia="宋体" w:cs="Times New Roman Regular"/>
        <w:sz w:val="28"/>
        <w:lang w:eastAsia="zh-CN"/>
      </w:rPr>
    </w:pPr>
  </w:p>
  <w:p>
    <w:pPr>
      <w:spacing w:before="30" w:after="120" w:line="240" w:lineRule="auto"/>
      <w:contextualSpacing/>
      <w:rPr>
        <w:rFonts w:ascii="Times New Roman Regular" w:hAnsi="Times New Roman Regular" w:eastAsia="宋体" w:cs="Times New Roman Regular"/>
        <w:b w:val="0"/>
        <w:sz w:val="24"/>
      </w:rPr>
    </w:pPr>
    <w:r>
      <w:rPr>
        <w:rFonts w:hint="eastAsia" w:ascii="Times New Roman Regular" w:hAnsi="Times New Roman Regular" w:eastAsia="宋体" w:cs="Times New Roman Regular"/>
        <w:sz w:val="24"/>
        <w:szCs w:val="24"/>
        <w:lang w:eastAsia="zh-CN"/>
      </w:rPr>
      <w:t>证据分级指南（附录</w:t>
    </w:r>
    <w:r>
      <w:rPr>
        <w:rFonts w:ascii="Times New Roman Regular" w:hAnsi="Times New Roman Regular" w:eastAsia="宋体" w:cs="Times New Roman Regular"/>
        <w:sz w:val="24"/>
        <w:szCs w:val="24"/>
        <w:lang w:eastAsia="zh-CN"/>
      </w:rPr>
      <w:t xml:space="preserve"> D）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421B29"/>
    <w:multiLevelType w:val="multilevel"/>
    <w:tmpl w:val="4D421B29"/>
    <w:lvl w:ilvl="0" w:tentative="0">
      <w:start w:val="1"/>
      <w:numFmt w:val="bullet"/>
      <w:suff w:val="space"/>
      <w:lvlText w:val=""/>
      <w:lvlJc w:val="left"/>
      <w:pPr>
        <w:ind w:left="173" w:hanging="29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8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4" w:hanging="360"/>
      </w:pPr>
      <w:rPr>
        <w:rFonts w:hint="default" w:ascii="Wingdings" w:hAnsi="Wingdings"/>
      </w:rPr>
    </w:lvl>
  </w:abstractNum>
  <w:abstractNum w:abstractNumId="1">
    <w:nsid w:val="5B46615C"/>
    <w:multiLevelType w:val="multilevel"/>
    <w:tmpl w:val="5B46615C"/>
    <w:lvl w:ilvl="0" w:tentative="0">
      <w:start w:val="1"/>
      <w:numFmt w:val="bullet"/>
      <w:suff w:val="space"/>
      <w:lvlText w:val=""/>
      <w:lvlJc w:val="left"/>
      <w:pPr>
        <w:ind w:left="144" w:firstLine="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2NbGwMDExMTIyMzBV0lEKTi0uzszPAykwrgUALU6oVCwAAAA="/>
    <w:docVar w:name="commondata" w:val="eyJoZGlkIjoiNmI1NDExNDE1NjYxZjBkZmYyOTI4OTkyMTNjYmUzZGUifQ=="/>
  </w:docVars>
  <w:rsids>
    <w:rsidRoot w:val="001E2977"/>
    <w:rsid w:val="00030CEF"/>
    <w:rsid w:val="000749DA"/>
    <w:rsid w:val="00086930"/>
    <w:rsid w:val="000A016D"/>
    <w:rsid w:val="000B3816"/>
    <w:rsid w:val="00121296"/>
    <w:rsid w:val="00127922"/>
    <w:rsid w:val="00142A43"/>
    <w:rsid w:val="00152595"/>
    <w:rsid w:val="00156A40"/>
    <w:rsid w:val="00183848"/>
    <w:rsid w:val="001E2977"/>
    <w:rsid w:val="00225D1F"/>
    <w:rsid w:val="00231367"/>
    <w:rsid w:val="002F557D"/>
    <w:rsid w:val="003432B4"/>
    <w:rsid w:val="003B38BE"/>
    <w:rsid w:val="003C2A52"/>
    <w:rsid w:val="003E1FCB"/>
    <w:rsid w:val="003E36B8"/>
    <w:rsid w:val="003E6DBE"/>
    <w:rsid w:val="004A07AA"/>
    <w:rsid w:val="004B5D70"/>
    <w:rsid w:val="004C6CA6"/>
    <w:rsid w:val="004D0E9D"/>
    <w:rsid w:val="004F1432"/>
    <w:rsid w:val="0051000A"/>
    <w:rsid w:val="00523E20"/>
    <w:rsid w:val="005C4CC8"/>
    <w:rsid w:val="00637666"/>
    <w:rsid w:val="006C5522"/>
    <w:rsid w:val="006F7B1B"/>
    <w:rsid w:val="0070298D"/>
    <w:rsid w:val="0070593A"/>
    <w:rsid w:val="007505B6"/>
    <w:rsid w:val="0075452B"/>
    <w:rsid w:val="007560CB"/>
    <w:rsid w:val="008028C2"/>
    <w:rsid w:val="008255B2"/>
    <w:rsid w:val="00925E18"/>
    <w:rsid w:val="0094595E"/>
    <w:rsid w:val="00950F42"/>
    <w:rsid w:val="009561E5"/>
    <w:rsid w:val="00990D51"/>
    <w:rsid w:val="00994B7D"/>
    <w:rsid w:val="009D425D"/>
    <w:rsid w:val="00A21C37"/>
    <w:rsid w:val="00A3143F"/>
    <w:rsid w:val="00A3373C"/>
    <w:rsid w:val="00A526BF"/>
    <w:rsid w:val="00AD5002"/>
    <w:rsid w:val="00AE4A6A"/>
    <w:rsid w:val="00B375BC"/>
    <w:rsid w:val="00B66BE3"/>
    <w:rsid w:val="00BF1E16"/>
    <w:rsid w:val="00C51CC5"/>
    <w:rsid w:val="00CA2EDD"/>
    <w:rsid w:val="00D436DA"/>
    <w:rsid w:val="00D60366"/>
    <w:rsid w:val="00D666DF"/>
    <w:rsid w:val="00D84BFB"/>
    <w:rsid w:val="00DC7E56"/>
    <w:rsid w:val="00DD5294"/>
    <w:rsid w:val="00DF2409"/>
    <w:rsid w:val="00E1001F"/>
    <w:rsid w:val="00E612D9"/>
    <w:rsid w:val="00F03F52"/>
    <w:rsid w:val="00F06422"/>
    <w:rsid w:val="00F5350D"/>
    <w:rsid w:val="00F57B4A"/>
    <w:rsid w:val="00F75749"/>
    <w:rsid w:val="01221252"/>
    <w:rsid w:val="01AFDE07"/>
    <w:rsid w:val="02030050"/>
    <w:rsid w:val="03B589F8"/>
    <w:rsid w:val="0552DDDD"/>
    <w:rsid w:val="05801E43"/>
    <w:rsid w:val="08383B5F"/>
    <w:rsid w:val="084A8F2C"/>
    <w:rsid w:val="084B8FBD"/>
    <w:rsid w:val="0CA57678"/>
    <w:rsid w:val="0DC30F8D"/>
    <w:rsid w:val="0E7CBA0D"/>
    <w:rsid w:val="0EC1D42B"/>
    <w:rsid w:val="0F2E538F"/>
    <w:rsid w:val="0F91FD18"/>
    <w:rsid w:val="12BB88B5"/>
    <w:rsid w:val="1302C740"/>
    <w:rsid w:val="13E59425"/>
    <w:rsid w:val="156CEF56"/>
    <w:rsid w:val="17BA5B54"/>
    <w:rsid w:val="18267C78"/>
    <w:rsid w:val="1BE1270E"/>
    <w:rsid w:val="20013D0C"/>
    <w:rsid w:val="2957F348"/>
    <w:rsid w:val="29EBDF7C"/>
    <w:rsid w:val="2AD2DD7C"/>
    <w:rsid w:val="3160B03B"/>
    <w:rsid w:val="32A646E3"/>
    <w:rsid w:val="34F7BBB1"/>
    <w:rsid w:val="3DBB3B50"/>
    <w:rsid w:val="40E56B80"/>
    <w:rsid w:val="41FE141C"/>
    <w:rsid w:val="430A20ED"/>
    <w:rsid w:val="4433746F"/>
    <w:rsid w:val="45AC3A39"/>
    <w:rsid w:val="4696AE38"/>
    <w:rsid w:val="4711AF4E"/>
    <w:rsid w:val="4904B9FC"/>
    <w:rsid w:val="4A1770B5"/>
    <w:rsid w:val="4A8481FE"/>
    <w:rsid w:val="4B700699"/>
    <w:rsid w:val="4FF1883F"/>
    <w:rsid w:val="5207DB39"/>
    <w:rsid w:val="563EF4D0"/>
    <w:rsid w:val="56563A7E"/>
    <w:rsid w:val="58D1192C"/>
    <w:rsid w:val="5D0CCD69"/>
    <w:rsid w:val="5EA0EDB6"/>
    <w:rsid w:val="5FD846F1"/>
    <w:rsid w:val="60F4B9C5"/>
    <w:rsid w:val="62B1436C"/>
    <w:rsid w:val="6ABF4394"/>
    <w:rsid w:val="6BC0D1A4"/>
    <w:rsid w:val="6D38D0E5"/>
    <w:rsid w:val="6E8952C6"/>
    <w:rsid w:val="70711CBA"/>
    <w:rsid w:val="7325497F"/>
    <w:rsid w:val="73B62612"/>
    <w:rsid w:val="76199727"/>
    <w:rsid w:val="78773AAF"/>
    <w:rsid w:val="7A27F55B"/>
    <w:rsid w:val="7A5BF5A8"/>
    <w:rsid w:val="7B26BB8F"/>
    <w:rsid w:val="7B629698"/>
    <w:rsid w:val="7C4A1AAB"/>
    <w:rsid w:val="7D994B1F"/>
    <w:rsid w:val="7FA2FE47"/>
    <w:rsid w:val="BBF9A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3">
    <w:name w:val="Body Text"/>
    <w:basedOn w:val="1"/>
    <w:link w:val="16"/>
    <w:qFormat/>
    <w:uiPriority w:val="1"/>
    <w:pPr>
      <w:framePr w:hSpace="187" w:wrap="around" w:vAnchor="text" w:hAnchor="margin" w:x="-710" w:y="-417"/>
      <w:widowControl w:val="0"/>
      <w:autoSpaceDE w:val="0"/>
      <w:autoSpaceDN w:val="0"/>
      <w:spacing w:before="60" w:after="60" w:line="278" w:lineRule="auto"/>
      <w:ind w:left="144" w:right="144"/>
    </w:pPr>
    <w:rPr>
      <w:rFonts w:ascii="Tahoma" w:hAnsi="Tahoma" w:eastAsia="Arial Narrow" w:cs="Tahoma"/>
      <w:sz w:val="18"/>
      <w:szCs w:val="20"/>
    </w:rPr>
  </w:style>
  <w:style w:type="paragraph" w:styleId="4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16"/>
      <w:szCs w:val="16"/>
    </w:rPr>
  </w:style>
  <w:style w:type="paragraph" w:customStyle="1" w:styleId="12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3">
    <w:name w:val="normaltextrun"/>
    <w:basedOn w:val="10"/>
    <w:qFormat/>
    <w:uiPriority w:val="0"/>
  </w:style>
  <w:style w:type="character" w:customStyle="1" w:styleId="14">
    <w:name w:val="eop"/>
    <w:basedOn w:val="10"/>
    <w:qFormat/>
    <w:uiPriority w:val="0"/>
  </w:style>
  <w:style w:type="character" w:customStyle="1" w:styleId="15">
    <w:name w:val="scxw258392635"/>
    <w:basedOn w:val="10"/>
    <w:qFormat/>
    <w:uiPriority w:val="0"/>
  </w:style>
  <w:style w:type="character" w:customStyle="1" w:styleId="16">
    <w:name w:val="正文文本 字符"/>
    <w:basedOn w:val="10"/>
    <w:link w:val="3"/>
    <w:uiPriority w:val="1"/>
    <w:rPr>
      <w:rFonts w:ascii="Tahoma" w:hAnsi="Tahoma" w:eastAsia="Arial Narrow" w:cs="Tahoma"/>
      <w:sz w:val="18"/>
      <w:szCs w:val="20"/>
    </w:rPr>
  </w:style>
  <w:style w:type="paragraph" w:customStyle="1" w:styleId="17">
    <w:name w:val="Table Title"/>
    <w:basedOn w:val="1"/>
    <w:qFormat/>
    <w:uiPriority w:val="1"/>
    <w:pPr>
      <w:widowControl w:val="0"/>
      <w:autoSpaceDE w:val="0"/>
      <w:autoSpaceDN w:val="0"/>
      <w:spacing w:before="99" w:after="0" w:line="240" w:lineRule="auto"/>
      <w:ind w:left="100"/>
    </w:pPr>
    <w:rPr>
      <w:rFonts w:ascii="Arial Narrow" w:hAnsi="Arial Narrow" w:eastAsia="Tahoma" w:cs="Tahoma"/>
      <w:b/>
      <w:sz w:val="20"/>
    </w:rPr>
  </w:style>
  <w:style w:type="character" w:customStyle="1" w:styleId="18">
    <w:name w:val="页眉 字符"/>
    <w:basedOn w:val="10"/>
    <w:link w:val="6"/>
    <w:qFormat/>
    <w:uiPriority w:val="99"/>
  </w:style>
  <w:style w:type="character" w:customStyle="1" w:styleId="19">
    <w:name w:val="页脚 字符"/>
    <w:basedOn w:val="10"/>
    <w:link w:val="5"/>
    <w:qFormat/>
    <w:uiPriority w:val="99"/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批注文字 字符"/>
    <w:basedOn w:val="10"/>
    <w:link w:val="2"/>
    <w:semiHidden/>
    <w:qFormat/>
    <w:uiPriority w:val="99"/>
    <w:rPr>
      <w:sz w:val="20"/>
      <w:szCs w:val="20"/>
    </w:rPr>
  </w:style>
  <w:style w:type="character" w:customStyle="1" w:styleId="22">
    <w:name w:val="批注框文本 字符"/>
    <w:basedOn w:val="10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3">
    <w:name w:val="批注主题 字符"/>
    <w:basedOn w:val="21"/>
    <w:link w:val="7"/>
    <w:semiHidden/>
    <w:qFormat/>
    <w:uiPriority w:val="99"/>
    <w:rPr>
      <w:b/>
      <w:bCs/>
      <w:sz w:val="20"/>
      <w:szCs w:val="20"/>
    </w:rPr>
  </w:style>
  <w:style w:type="paragraph" w:customStyle="1" w:styleId="24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Johns Hopkins</Company>
  <Pages>2</Pages>
  <Words>406</Words>
  <Characters>428</Characters>
  <Lines>3</Lines>
  <Paragraphs>1</Paragraphs>
  <TotalTime>65</TotalTime>
  <ScaleCrop>false</ScaleCrop>
  <LinksUpToDate>false</LinksUpToDate>
  <CharactersWithSpaces>437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2021-05-21T06:18:00Z</dcterms:created>
  <dc:creator>Kim Bissett</dc:creator>
  <cp:lastModifiedBy>丁宁</cp:lastModifiedBy>
  <dcterms:modified xsi:type="dcterms:W3CDTF">2023-04-23T08:23:49Z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  <property fmtid="{D5CDD505-2E9C-101B-9397-08002B2CF9AE}" pid="3" name="KSOProductBuildVer">
    <vt:lpwstr>2052-11.1.0.14036</vt:lpwstr>
  </property>
  <property fmtid="{D5CDD505-2E9C-101B-9397-08002B2CF9AE}" pid="4" name="ICV">
    <vt:lpwstr>1F2CCA2244B24FFC8A8E583A2CB7135D_13</vt:lpwstr>
  </property>
</Properties>
</file>